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74" w:rsidRDefault="002A0040">
      <w:r>
        <w:t>Name</w:t>
      </w:r>
      <w:proofErr w:type="gramStart"/>
      <w:r>
        <w:t>:_</w:t>
      </w:r>
      <w:proofErr w:type="gramEnd"/>
      <w:r>
        <w:t>__________________</w:t>
      </w:r>
      <w:r>
        <w:tab/>
      </w:r>
      <w:r>
        <w:tab/>
      </w:r>
      <w:r>
        <w:tab/>
        <w:t>Economics of Development</w:t>
      </w:r>
    </w:p>
    <w:p w:rsidR="002A0040" w:rsidRDefault="008A5B91">
      <w:r>
        <w:t>Spring 2009</w:t>
      </w:r>
      <w:bookmarkStart w:id="0" w:name="_GoBack"/>
      <w:bookmarkEnd w:id="0"/>
      <w:r w:rsidR="008B18BE">
        <w:tab/>
      </w:r>
      <w:r w:rsidR="008B18BE">
        <w:tab/>
      </w:r>
      <w:r w:rsidR="008B18BE">
        <w:tab/>
      </w:r>
      <w:r w:rsidR="008B18BE">
        <w:tab/>
      </w:r>
      <w:r w:rsidR="008B18BE">
        <w:tab/>
      </w:r>
      <w:r w:rsidR="008B18BE">
        <w:tab/>
      </w:r>
      <w:r w:rsidR="00855C87">
        <w:t xml:space="preserve"> Exam </w:t>
      </w:r>
      <w:r w:rsidR="002A0040">
        <w:t>1</w:t>
      </w:r>
    </w:p>
    <w:p w:rsidR="002A0040" w:rsidRDefault="002362DA">
      <w:r>
        <w:t>Total quiz is 30 points.  Each question is worth three points.  Each sub question is worth an equal share of these three points.</w:t>
      </w:r>
    </w:p>
    <w:p w:rsidR="002362DA" w:rsidRDefault="002362DA"/>
    <w:p w:rsidR="002A0040" w:rsidRDefault="002A0040" w:rsidP="002A0040">
      <w:pPr>
        <w:numPr>
          <w:ilvl w:val="0"/>
          <w:numId w:val="1"/>
        </w:numPr>
      </w:pPr>
      <w:r>
        <w:t>Circle to indicate whether the statement is true or false.</w:t>
      </w:r>
    </w:p>
    <w:tbl>
      <w:tblPr>
        <w:tblStyle w:val="TableGrid"/>
        <w:tblW w:w="0" w:type="auto"/>
        <w:tblLook w:val="01E0" w:firstRow="1" w:lastRow="1" w:firstColumn="1" w:lastColumn="1" w:noHBand="0" w:noVBand="0"/>
      </w:tblPr>
      <w:tblGrid>
        <w:gridCol w:w="6768"/>
        <w:gridCol w:w="2088"/>
      </w:tblGrid>
      <w:tr w:rsidR="002A0040">
        <w:tc>
          <w:tcPr>
            <w:tcW w:w="6768" w:type="dxa"/>
          </w:tcPr>
          <w:p w:rsidR="002A0040" w:rsidRPr="002A0040" w:rsidRDefault="002A0040" w:rsidP="002A0040">
            <w:pPr>
              <w:rPr>
                <w:b/>
              </w:rPr>
            </w:pPr>
            <w:r w:rsidRPr="002A0040">
              <w:rPr>
                <w:b/>
              </w:rPr>
              <w:t>Statement</w:t>
            </w:r>
          </w:p>
        </w:tc>
        <w:tc>
          <w:tcPr>
            <w:tcW w:w="2088" w:type="dxa"/>
          </w:tcPr>
          <w:p w:rsidR="002A0040" w:rsidRPr="002A0040" w:rsidRDefault="002A0040" w:rsidP="002A0040">
            <w:pPr>
              <w:rPr>
                <w:b/>
              </w:rPr>
            </w:pPr>
            <w:r w:rsidRPr="002A0040">
              <w:rPr>
                <w:b/>
              </w:rPr>
              <w:t>Is the statement True or False?</w:t>
            </w:r>
          </w:p>
        </w:tc>
      </w:tr>
      <w:tr w:rsidR="002A0040">
        <w:tc>
          <w:tcPr>
            <w:tcW w:w="6768" w:type="dxa"/>
          </w:tcPr>
          <w:p w:rsidR="008B18BE" w:rsidRDefault="000E0A25" w:rsidP="002A0040">
            <w:r>
              <w:t>The Harrod Domar model assumes</w:t>
            </w:r>
            <w:r w:rsidR="001C68D9">
              <w:t xml:space="preserve"> </w:t>
            </w:r>
            <w:r>
              <w:t xml:space="preserve">there </w:t>
            </w:r>
            <w:proofErr w:type="gramStart"/>
            <w:r>
              <w:t>are</w:t>
            </w:r>
            <w:proofErr w:type="gramEnd"/>
            <w:r>
              <w:t xml:space="preserve"> </w:t>
            </w:r>
            <w:r w:rsidR="001C68D9">
              <w:t>diminishing marginal returns to capital</w:t>
            </w:r>
            <w:r w:rsidR="00C46545">
              <w:t xml:space="preserve"> in the production of output</w:t>
            </w:r>
            <w:r w:rsidR="001C68D9">
              <w:t>.</w:t>
            </w:r>
          </w:p>
          <w:p w:rsidR="00FD4476" w:rsidRDefault="00FD4476" w:rsidP="002A0040"/>
          <w:p w:rsidR="000E0A25" w:rsidRDefault="000E0A25" w:rsidP="002A0040"/>
        </w:tc>
        <w:tc>
          <w:tcPr>
            <w:tcW w:w="2088" w:type="dxa"/>
          </w:tcPr>
          <w:p w:rsidR="002A0040" w:rsidRDefault="002A0040" w:rsidP="002A0040">
            <w:r>
              <w:t>True or False</w:t>
            </w:r>
          </w:p>
        </w:tc>
      </w:tr>
      <w:tr w:rsidR="002A0040">
        <w:tc>
          <w:tcPr>
            <w:tcW w:w="6768" w:type="dxa"/>
          </w:tcPr>
          <w:p w:rsidR="00FD4476" w:rsidRDefault="001C68D9" w:rsidP="002A0040">
            <w:proofErr w:type="spellStart"/>
            <w:r>
              <w:t>Sen</w:t>
            </w:r>
            <w:proofErr w:type="spellEnd"/>
            <w:r>
              <w:t xml:space="preserve"> identifies one of the main themes of the first generation of development econom</w:t>
            </w:r>
            <w:r w:rsidR="00C46545">
              <w:t>ics the contention that</w:t>
            </w:r>
            <w:r w:rsidR="000E0A25">
              <w:t xml:space="preserve"> structural ad</w:t>
            </w:r>
            <w:r w:rsidR="00C46545">
              <w:t>justment and income growth are</w:t>
            </w:r>
            <w:r w:rsidR="000E0A25">
              <w:t xml:space="preserve"> complementary objectives</w:t>
            </w:r>
            <w:r>
              <w:t>.</w:t>
            </w:r>
          </w:p>
          <w:p w:rsidR="000E0A25" w:rsidRDefault="000E0A25" w:rsidP="002A0040"/>
        </w:tc>
        <w:tc>
          <w:tcPr>
            <w:tcW w:w="2088" w:type="dxa"/>
          </w:tcPr>
          <w:p w:rsidR="002A0040" w:rsidRDefault="002A0040" w:rsidP="002A0040">
            <w:r>
              <w:t>True or False</w:t>
            </w:r>
          </w:p>
        </w:tc>
      </w:tr>
      <w:tr w:rsidR="002A0040">
        <w:tc>
          <w:tcPr>
            <w:tcW w:w="6768" w:type="dxa"/>
          </w:tcPr>
          <w:p w:rsidR="00D72996" w:rsidRDefault="001C68D9" w:rsidP="002A0040">
            <w:r>
              <w:t>Neutral technological progress leaves unchanged the marginal rate of technical sub</w:t>
            </w:r>
            <w:r w:rsidR="00C46545">
              <w:t>stitution for a given input bundle</w:t>
            </w:r>
            <w:r>
              <w:t>, but changes the amount of output produ</w:t>
            </w:r>
            <w:r w:rsidR="00C46545">
              <w:t>ced using that input bundle</w:t>
            </w:r>
            <w:r>
              <w:t>.</w:t>
            </w:r>
          </w:p>
          <w:p w:rsidR="00FD4476" w:rsidRDefault="00FD4476" w:rsidP="002A0040"/>
        </w:tc>
        <w:tc>
          <w:tcPr>
            <w:tcW w:w="2088" w:type="dxa"/>
          </w:tcPr>
          <w:p w:rsidR="002A0040" w:rsidRDefault="002A0040" w:rsidP="002A0040">
            <w:r>
              <w:t>True or False</w:t>
            </w:r>
          </w:p>
        </w:tc>
      </w:tr>
      <w:tr w:rsidR="002A0040">
        <w:tc>
          <w:tcPr>
            <w:tcW w:w="6768" w:type="dxa"/>
          </w:tcPr>
          <w:p w:rsidR="008B18BE" w:rsidRDefault="001C68D9" w:rsidP="002A0040">
            <w:r>
              <w:t>According to the theory of comparative advantage, every</w:t>
            </w:r>
            <w:r w:rsidR="000E0A25">
              <w:t xml:space="preserve"> country has to have a comparative</w:t>
            </w:r>
            <w:r>
              <w:t xml:space="preserve"> advantage in the production of at least one commodity.</w:t>
            </w:r>
          </w:p>
          <w:p w:rsidR="00FD4476" w:rsidRDefault="00FD4476" w:rsidP="002A0040"/>
        </w:tc>
        <w:tc>
          <w:tcPr>
            <w:tcW w:w="2088" w:type="dxa"/>
          </w:tcPr>
          <w:p w:rsidR="002A0040" w:rsidRDefault="002A0040" w:rsidP="002A0040">
            <w:r>
              <w:t>True or False</w:t>
            </w:r>
          </w:p>
        </w:tc>
      </w:tr>
      <w:tr w:rsidR="002A0040">
        <w:tc>
          <w:tcPr>
            <w:tcW w:w="6768" w:type="dxa"/>
          </w:tcPr>
          <w:p w:rsidR="00A94EFE" w:rsidRDefault="001C68D9" w:rsidP="002A0040">
            <w:r>
              <w:t>The ‘</w:t>
            </w:r>
            <w:proofErr w:type="spellStart"/>
            <w:r>
              <w:t>Prebisch</w:t>
            </w:r>
            <w:proofErr w:type="spellEnd"/>
            <w:r>
              <w:t>-Singer’ hypothesis is based on the argument that the income elasticity of demand for manufactured goods is lower than the income elasticity of demand for primary products.</w:t>
            </w:r>
          </w:p>
          <w:p w:rsidR="00FD4476" w:rsidRDefault="00FD4476" w:rsidP="002A0040"/>
        </w:tc>
        <w:tc>
          <w:tcPr>
            <w:tcW w:w="2088" w:type="dxa"/>
          </w:tcPr>
          <w:p w:rsidR="002A0040" w:rsidRDefault="002A0040" w:rsidP="002A0040">
            <w:r>
              <w:t>True or False</w:t>
            </w:r>
          </w:p>
        </w:tc>
      </w:tr>
      <w:tr w:rsidR="002A0040">
        <w:tc>
          <w:tcPr>
            <w:tcW w:w="6768" w:type="dxa"/>
          </w:tcPr>
          <w:p w:rsidR="00FD4476" w:rsidRDefault="001C68D9" w:rsidP="002A0040">
            <w:r>
              <w:t>A ‘steady state’ outcome in a dynamic model is a type of equilibrium that is characterized by there being no force internal to the model that leads to further change in the state variables.</w:t>
            </w:r>
          </w:p>
          <w:p w:rsidR="000E0A25" w:rsidRDefault="000E0A25" w:rsidP="002A0040"/>
        </w:tc>
        <w:tc>
          <w:tcPr>
            <w:tcW w:w="2088" w:type="dxa"/>
          </w:tcPr>
          <w:p w:rsidR="002A0040" w:rsidRDefault="002A0040" w:rsidP="002A0040">
            <w:r>
              <w:t>True or False</w:t>
            </w:r>
          </w:p>
        </w:tc>
      </w:tr>
      <w:tr w:rsidR="002A0040">
        <w:tc>
          <w:tcPr>
            <w:tcW w:w="6768" w:type="dxa"/>
          </w:tcPr>
          <w:p w:rsidR="00FD4476" w:rsidRDefault="000E0A25" w:rsidP="002A0040">
            <w:r>
              <w:t>Solow designed his model</w:t>
            </w:r>
            <w:r w:rsidR="001C68D9">
              <w:t xml:space="preserve"> to expla</w:t>
            </w:r>
            <w:r>
              <w:t>in the cross country evidence suggesting there is</w:t>
            </w:r>
            <w:r w:rsidR="001C68D9">
              <w:t xml:space="preserve"> ‘conditional convergence’ </w:t>
            </w:r>
            <w:r>
              <w:t xml:space="preserve">across countries </w:t>
            </w:r>
            <w:r w:rsidR="001C68D9">
              <w:t>in income per capita over time.</w:t>
            </w:r>
          </w:p>
          <w:p w:rsidR="000E0A25" w:rsidRDefault="000E0A25" w:rsidP="002A0040"/>
        </w:tc>
        <w:tc>
          <w:tcPr>
            <w:tcW w:w="2088" w:type="dxa"/>
          </w:tcPr>
          <w:p w:rsidR="002A0040" w:rsidRDefault="002A0040" w:rsidP="002A0040">
            <w:r>
              <w:t>True or False</w:t>
            </w:r>
          </w:p>
        </w:tc>
      </w:tr>
      <w:tr w:rsidR="002A0040">
        <w:tc>
          <w:tcPr>
            <w:tcW w:w="6768" w:type="dxa"/>
          </w:tcPr>
          <w:p w:rsidR="00613803" w:rsidRDefault="003718A2" w:rsidP="002A0040">
            <w:r>
              <w:t>The value of exports of goods and services is a component of the current account.</w:t>
            </w:r>
          </w:p>
          <w:p w:rsidR="00FD4476" w:rsidRDefault="00FD4476" w:rsidP="002A0040"/>
          <w:p w:rsidR="000E0A25" w:rsidRDefault="000E0A25" w:rsidP="002A0040"/>
        </w:tc>
        <w:tc>
          <w:tcPr>
            <w:tcW w:w="2088" w:type="dxa"/>
          </w:tcPr>
          <w:p w:rsidR="002A0040" w:rsidRDefault="002A0040" w:rsidP="002A0040">
            <w:r>
              <w:t>True or False</w:t>
            </w:r>
          </w:p>
        </w:tc>
      </w:tr>
    </w:tbl>
    <w:p w:rsidR="002A0040" w:rsidRDefault="002A0040" w:rsidP="002A0040">
      <w:pPr>
        <w:ind w:left="360"/>
      </w:pPr>
    </w:p>
    <w:p w:rsidR="001905AA" w:rsidRDefault="001905AA" w:rsidP="002A0040">
      <w:pPr>
        <w:ind w:left="360"/>
      </w:pPr>
    </w:p>
    <w:p w:rsidR="001905AA" w:rsidRDefault="00C851C0" w:rsidP="001905AA">
      <w:r>
        <w:t xml:space="preserve"> </w:t>
      </w:r>
    </w:p>
    <w:p w:rsidR="001905AA" w:rsidRDefault="001905AA" w:rsidP="001905AA"/>
    <w:p w:rsidR="001905AA" w:rsidRDefault="001905AA" w:rsidP="001905AA"/>
    <w:p w:rsidR="001905AA" w:rsidRDefault="001905AA" w:rsidP="001905AA"/>
    <w:p w:rsidR="001905AA" w:rsidRDefault="00613803" w:rsidP="001905AA">
      <w:pPr>
        <w:numPr>
          <w:ilvl w:val="0"/>
          <w:numId w:val="1"/>
        </w:numPr>
      </w:pPr>
      <w:r>
        <w:br w:type="page"/>
      </w:r>
      <w:r w:rsidR="001905AA">
        <w:lastRenderedPageBreak/>
        <w:t>Growth theories.</w:t>
      </w:r>
    </w:p>
    <w:p w:rsidR="003A013D" w:rsidRDefault="00D40C96" w:rsidP="003A013D">
      <w:pPr>
        <w:numPr>
          <w:ilvl w:val="1"/>
          <w:numId w:val="1"/>
        </w:numPr>
      </w:pPr>
      <w:r>
        <w:t xml:space="preserve">Using the notation on </w:t>
      </w:r>
      <w:r w:rsidR="008730C4">
        <w:t>this graph, use the space below the graph to</w:t>
      </w:r>
      <w:r>
        <w:t xml:space="preserve"> contrast an improvement in output per worker that results from factor accumulation from an improvement in output per worker that results from technological progress</w:t>
      </w:r>
      <w:r w:rsidR="008730C4">
        <w:t xml:space="preserve"> where k is capital per worker</w:t>
      </w:r>
      <w:r w:rsidR="001A3949">
        <w:t xml:space="preserve"> on the x axis</w:t>
      </w:r>
      <w:r w:rsidR="008730C4">
        <w:t xml:space="preserve">, output per worker is defined as </w:t>
      </w:r>
      <m:oMath>
        <m:r>
          <w:rPr>
            <w:rFonts w:ascii="Cambria Math" w:hAnsi="Cambria Math"/>
          </w:rPr>
          <m:t>y=∝</m:t>
        </m:r>
        <m:sSup>
          <m:sSupPr>
            <m:ctrlPr>
              <w:rPr>
                <w:rFonts w:ascii="Cambria Math" w:hAnsi="Cambria Math"/>
                <w:i/>
              </w:rPr>
            </m:ctrlPr>
          </m:sSupPr>
          <m:e>
            <m:r>
              <w:rPr>
                <w:rFonts w:ascii="Cambria Math" w:hAnsi="Cambria Math"/>
              </w:rPr>
              <m:t>k</m:t>
            </m:r>
          </m:e>
          <m:sup>
            <m:r>
              <w:rPr>
                <w:rFonts w:ascii="Cambria Math" w:hAnsi="Cambria Math"/>
              </w:rPr>
              <m:t>β</m:t>
            </m:r>
          </m:sup>
        </m:sSup>
      </m:oMath>
      <w:r w:rsidR="001A3949">
        <w:t xml:space="preserve"> on the y axis</w:t>
      </w:r>
      <w:r w:rsidR="008730C4">
        <w:t xml:space="preserve">, n is population growth rate, </w:t>
      </w:r>
      <w:r w:rsidR="008730C4">
        <w:rPr>
          <w:rFonts w:ascii="Calibri" w:hAnsi="Calibri"/>
        </w:rPr>
        <w:t>δ</w:t>
      </w:r>
      <w:r w:rsidR="008730C4">
        <w:t xml:space="preserve"> is the depreciation rate, and s is the savings rate.</w:t>
      </w:r>
    </w:p>
    <w:p w:rsidR="008730C4" w:rsidRDefault="008730C4" w:rsidP="008730C4">
      <w:r w:rsidRPr="008730C4">
        <w:rPr>
          <w:noProof/>
        </w:rPr>
        <w:drawing>
          <wp:inline distT="0" distB="0" distL="0" distR="0">
            <wp:extent cx="5486400" cy="3634154"/>
            <wp:effectExtent l="19050" t="0" r="19050" b="4396"/>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94EFE" w:rsidRDefault="00A94EFE" w:rsidP="00613803">
      <w:pPr>
        <w:ind w:left="1080"/>
      </w:pPr>
    </w:p>
    <w:p w:rsidR="00613803" w:rsidRDefault="003718A2" w:rsidP="000E0A25">
      <w:pPr>
        <w:pStyle w:val="ListParagraph"/>
        <w:numPr>
          <w:ilvl w:val="1"/>
          <w:numId w:val="1"/>
        </w:numPr>
      </w:pPr>
      <w:r>
        <w:br w:type="page"/>
      </w:r>
      <w:r w:rsidR="008730C4">
        <w:lastRenderedPageBreak/>
        <w:t xml:space="preserve">Explain using the notation on the graph Solow’s argument about what could </w:t>
      </w:r>
      <w:r w:rsidR="000E0A25">
        <w:t xml:space="preserve">and what could not </w:t>
      </w:r>
      <w:r w:rsidR="008730C4">
        <w:t>explain long run growth in an economy (</w:t>
      </w:r>
      <w:r w:rsidR="000E0A25">
        <w:t xml:space="preserve">in terms of the model </w:t>
      </w:r>
      <w:r w:rsidR="00C46545">
        <w:t xml:space="preserve">you are explaining what could lead to </w:t>
      </w:r>
      <w:r w:rsidR="008730C4">
        <w:t>constant growth in y over time).</w:t>
      </w:r>
    </w:p>
    <w:p w:rsidR="000E0A25" w:rsidRDefault="000E0A25" w:rsidP="000E0A25">
      <w:pPr>
        <w:ind w:left="1080"/>
      </w:pPr>
      <w:r>
        <w:t xml:space="preserve"> </w:t>
      </w:r>
    </w:p>
    <w:p w:rsidR="00613803" w:rsidRDefault="00613803" w:rsidP="003A013D"/>
    <w:p w:rsidR="003718A2" w:rsidRDefault="003A013D" w:rsidP="003718A2">
      <w:r>
        <w:br w:type="page"/>
      </w:r>
      <w:r w:rsidR="003718A2">
        <w:lastRenderedPageBreak/>
        <w:t>3) Match the model / theory to the assumption or implication.</w:t>
      </w:r>
    </w:p>
    <w:p w:rsidR="003718A2" w:rsidRDefault="003718A2" w:rsidP="003718A2">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95"/>
        <w:gridCol w:w="1410"/>
        <w:gridCol w:w="4968"/>
      </w:tblGrid>
      <w:tr w:rsidR="003718A2" w:rsidTr="003718A2">
        <w:tc>
          <w:tcPr>
            <w:tcW w:w="2083" w:type="dxa"/>
          </w:tcPr>
          <w:p w:rsidR="003718A2" w:rsidRDefault="003718A2" w:rsidP="001059CC">
            <w:r>
              <w:t>Model</w:t>
            </w:r>
          </w:p>
        </w:tc>
        <w:tc>
          <w:tcPr>
            <w:tcW w:w="395" w:type="dxa"/>
            <w:vMerge w:val="restart"/>
          </w:tcPr>
          <w:p w:rsidR="003718A2" w:rsidRDefault="003718A2" w:rsidP="001059CC"/>
        </w:tc>
        <w:tc>
          <w:tcPr>
            <w:tcW w:w="1410" w:type="dxa"/>
          </w:tcPr>
          <w:p w:rsidR="003718A2" w:rsidRDefault="003718A2" w:rsidP="001059CC">
            <w:r>
              <w:t>Write the number of the model</w:t>
            </w:r>
          </w:p>
        </w:tc>
        <w:tc>
          <w:tcPr>
            <w:tcW w:w="4968" w:type="dxa"/>
          </w:tcPr>
          <w:p w:rsidR="003718A2" w:rsidRDefault="003718A2" w:rsidP="001059CC">
            <w:r>
              <w:t>Assumption or implication</w:t>
            </w:r>
          </w:p>
        </w:tc>
      </w:tr>
      <w:tr w:rsidR="003718A2" w:rsidTr="003718A2">
        <w:tc>
          <w:tcPr>
            <w:tcW w:w="2083" w:type="dxa"/>
          </w:tcPr>
          <w:p w:rsidR="003718A2" w:rsidRDefault="003718A2" w:rsidP="001059CC">
            <w:r>
              <w:t>1) O – Ring</w:t>
            </w:r>
          </w:p>
        </w:tc>
        <w:tc>
          <w:tcPr>
            <w:tcW w:w="395" w:type="dxa"/>
            <w:vMerge/>
          </w:tcPr>
          <w:p w:rsidR="003718A2" w:rsidRDefault="003718A2" w:rsidP="001059CC"/>
        </w:tc>
        <w:tc>
          <w:tcPr>
            <w:tcW w:w="1410" w:type="dxa"/>
          </w:tcPr>
          <w:p w:rsidR="003718A2" w:rsidRDefault="003718A2" w:rsidP="001059CC"/>
        </w:tc>
        <w:tc>
          <w:tcPr>
            <w:tcW w:w="4968" w:type="dxa"/>
          </w:tcPr>
          <w:p w:rsidR="003718A2" w:rsidRDefault="003718A2" w:rsidP="001059CC">
            <w:r>
              <w:t>Technological progress is treated as a variable to be explained, rather than a fact exogenous to the model.</w:t>
            </w:r>
          </w:p>
          <w:p w:rsidR="003718A2" w:rsidRDefault="003718A2" w:rsidP="001059CC"/>
        </w:tc>
      </w:tr>
      <w:tr w:rsidR="003718A2" w:rsidTr="003718A2">
        <w:tc>
          <w:tcPr>
            <w:tcW w:w="2083" w:type="dxa"/>
          </w:tcPr>
          <w:p w:rsidR="003718A2" w:rsidRDefault="003718A2" w:rsidP="001059CC">
            <w:r>
              <w:t xml:space="preserve">2)  </w:t>
            </w:r>
            <w:proofErr w:type="spellStart"/>
            <w:r>
              <w:t>Romer</w:t>
            </w:r>
            <w:proofErr w:type="spellEnd"/>
            <w:r>
              <w:t xml:space="preserve"> growth</w:t>
            </w:r>
          </w:p>
        </w:tc>
        <w:tc>
          <w:tcPr>
            <w:tcW w:w="395" w:type="dxa"/>
            <w:vMerge/>
          </w:tcPr>
          <w:p w:rsidR="003718A2" w:rsidRDefault="003718A2" w:rsidP="001059CC"/>
        </w:tc>
        <w:tc>
          <w:tcPr>
            <w:tcW w:w="1410" w:type="dxa"/>
          </w:tcPr>
          <w:p w:rsidR="003718A2" w:rsidRDefault="003718A2" w:rsidP="001059CC"/>
        </w:tc>
        <w:tc>
          <w:tcPr>
            <w:tcW w:w="4968" w:type="dxa"/>
          </w:tcPr>
          <w:p w:rsidR="003718A2" w:rsidRDefault="003718A2" w:rsidP="001059CC">
            <w:r>
              <w:t>Profits obtained in the manufacturing sector will be reinvested in this sector, thus increasing capital stocks and generating more employment.</w:t>
            </w:r>
          </w:p>
          <w:p w:rsidR="003718A2" w:rsidRDefault="003718A2" w:rsidP="001059CC"/>
        </w:tc>
      </w:tr>
      <w:tr w:rsidR="003718A2" w:rsidTr="003718A2">
        <w:tc>
          <w:tcPr>
            <w:tcW w:w="2083" w:type="dxa"/>
          </w:tcPr>
          <w:p w:rsidR="003718A2" w:rsidRDefault="003718A2" w:rsidP="001059CC">
            <w:r>
              <w:t>3) Lewis Model</w:t>
            </w:r>
          </w:p>
        </w:tc>
        <w:tc>
          <w:tcPr>
            <w:tcW w:w="395" w:type="dxa"/>
            <w:vMerge/>
          </w:tcPr>
          <w:p w:rsidR="003718A2" w:rsidRDefault="003718A2" w:rsidP="001059CC"/>
        </w:tc>
        <w:tc>
          <w:tcPr>
            <w:tcW w:w="1410" w:type="dxa"/>
          </w:tcPr>
          <w:p w:rsidR="003718A2" w:rsidRDefault="003718A2" w:rsidP="001059CC"/>
        </w:tc>
        <w:tc>
          <w:tcPr>
            <w:tcW w:w="4968" w:type="dxa"/>
          </w:tcPr>
          <w:p w:rsidR="003718A2" w:rsidRDefault="003718A2" w:rsidP="001059CC">
            <w:r>
              <w:t>Coordination may be needed to assure that industrialization will occur across multiple sectors of the economy for certain wage rates.</w:t>
            </w:r>
          </w:p>
          <w:p w:rsidR="003718A2" w:rsidRDefault="003718A2" w:rsidP="001059CC"/>
        </w:tc>
      </w:tr>
      <w:tr w:rsidR="003718A2" w:rsidTr="003718A2">
        <w:tc>
          <w:tcPr>
            <w:tcW w:w="2083" w:type="dxa"/>
          </w:tcPr>
          <w:p w:rsidR="003718A2" w:rsidRDefault="003718A2" w:rsidP="001059CC">
            <w:r>
              <w:t>4)  Big Push</w:t>
            </w:r>
          </w:p>
        </w:tc>
        <w:tc>
          <w:tcPr>
            <w:tcW w:w="395" w:type="dxa"/>
            <w:vMerge/>
          </w:tcPr>
          <w:p w:rsidR="003718A2" w:rsidRDefault="003718A2" w:rsidP="001059CC"/>
        </w:tc>
        <w:tc>
          <w:tcPr>
            <w:tcW w:w="1410" w:type="dxa"/>
          </w:tcPr>
          <w:p w:rsidR="003718A2" w:rsidRDefault="003718A2" w:rsidP="001059CC"/>
        </w:tc>
        <w:tc>
          <w:tcPr>
            <w:tcW w:w="4968" w:type="dxa"/>
          </w:tcPr>
          <w:p w:rsidR="003718A2" w:rsidRDefault="003718A2" w:rsidP="001059CC">
            <w:r>
              <w:t>Higher quality workers will choose to work with other higher quality workers, leaving lower quality workers to work together.</w:t>
            </w:r>
          </w:p>
          <w:p w:rsidR="003718A2" w:rsidRDefault="003718A2" w:rsidP="001059CC"/>
        </w:tc>
      </w:tr>
      <w:tr w:rsidR="003718A2" w:rsidTr="003718A2">
        <w:tc>
          <w:tcPr>
            <w:tcW w:w="2083" w:type="dxa"/>
          </w:tcPr>
          <w:p w:rsidR="003718A2" w:rsidRDefault="003718A2" w:rsidP="001059CC">
            <w:r>
              <w:t xml:space="preserve">5)  </w:t>
            </w:r>
            <w:r w:rsidR="00FC3939">
              <w:t>Harrod-Domar</w:t>
            </w:r>
          </w:p>
        </w:tc>
        <w:tc>
          <w:tcPr>
            <w:tcW w:w="395" w:type="dxa"/>
            <w:vMerge/>
          </w:tcPr>
          <w:p w:rsidR="003718A2" w:rsidRDefault="003718A2" w:rsidP="001059CC"/>
        </w:tc>
        <w:tc>
          <w:tcPr>
            <w:tcW w:w="1410" w:type="dxa"/>
          </w:tcPr>
          <w:p w:rsidR="003718A2" w:rsidRDefault="003718A2" w:rsidP="001059CC"/>
        </w:tc>
        <w:tc>
          <w:tcPr>
            <w:tcW w:w="4968" w:type="dxa"/>
          </w:tcPr>
          <w:p w:rsidR="003718A2" w:rsidRDefault="003718A2" w:rsidP="001059CC">
            <w:r>
              <w:t>Primary product exporting economies will experience unfavorable changes in their commodity terms of trade over time due income elasticities of demand.</w:t>
            </w:r>
          </w:p>
        </w:tc>
      </w:tr>
      <w:tr w:rsidR="003718A2" w:rsidTr="003718A2">
        <w:tc>
          <w:tcPr>
            <w:tcW w:w="2083" w:type="dxa"/>
          </w:tcPr>
          <w:p w:rsidR="003718A2" w:rsidRDefault="003718A2" w:rsidP="001059CC">
            <w:r>
              <w:t>6)  Comparative Advantage</w:t>
            </w:r>
          </w:p>
        </w:tc>
        <w:tc>
          <w:tcPr>
            <w:tcW w:w="395" w:type="dxa"/>
            <w:vMerge/>
          </w:tcPr>
          <w:p w:rsidR="003718A2" w:rsidRDefault="003718A2" w:rsidP="001059CC"/>
        </w:tc>
        <w:tc>
          <w:tcPr>
            <w:tcW w:w="1410" w:type="dxa"/>
          </w:tcPr>
          <w:p w:rsidR="003718A2" w:rsidRDefault="003718A2" w:rsidP="001059CC"/>
        </w:tc>
        <w:tc>
          <w:tcPr>
            <w:tcW w:w="4968" w:type="dxa"/>
          </w:tcPr>
          <w:p w:rsidR="003718A2" w:rsidRDefault="00FC3939" w:rsidP="001059CC">
            <w:r>
              <w:t>The marginal propensity to save is a critical determinant of the growth in national income over time.</w:t>
            </w:r>
          </w:p>
          <w:p w:rsidR="00FC3939" w:rsidRDefault="00FC3939" w:rsidP="001059CC"/>
        </w:tc>
      </w:tr>
      <w:tr w:rsidR="003718A2" w:rsidTr="003718A2">
        <w:tc>
          <w:tcPr>
            <w:tcW w:w="2083" w:type="dxa"/>
          </w:tcPr>
          <w:p w:rsidR="003718A2" w:rsidRDefault="003718A2" w:rsidP="001059CC">
            <w:r>
              <w:t>7)  Infant industry</w:t>
            </w:r>
          </w:p>
        </w:tc>
        <w:tc>
          <w:tcPr>
            <w:tcW w:w="395" w:type="dxa"/>
            <w:vMerge/>
          </w:tcPr>
          <w:p w:rsidR="003718A2" w:rsidRDefault="003718A2" w:rsidP="001059CC"/>
        </w:tc>
        <w:tc>
          <w:tcPr>
            <w:tcW w:w="1410" w:type="dxa"/>
          </w:tcPr>
          <w:p w:rsidR="003718A2" w:rsidRDefault="003718A2" w:rsidP="001059CC"/>
        </w:tc>
        <w:tc>
          <w:tcPr>
            <w:tcW w:w="4968" w:type="dxa"/>
          </w:tcPr>
          <w:p w:rsidR="003718A2" w:rsidRDefault="003718A2" w:rsidP="001059CC">
            <w:r>
              <w:t>Well being can be improved by specialization and trade without using any new resources.</w:t>
            </w:r>
          </w:p>
          <w:p w:rsidR="003718A2" w:rsidRDefault="003718A2" w:rsidP="001059CC"/>
          <w:p w:rsidR="003718A2" w:rsidRDefault="003718A2" w:rsidP="001059CC"/>
        </w:tc>
      </w:tr>
      <w:tr w:rsidR="003718A2" w:rsidTr="003718A2">
        <w:tc>
          <w:tcPr>
            <w:tcW w:w="2083" w:type="dxa"/>
          </w:tcPr>
          <w:p w:rsidR="003718A2" w:rsidRDefault="003718A2" w:rsidP="001059CC">
            <w:r>
              <w:t>8)  Prebish – Singer</w:t>
            </w:r>
          </w:p>
        </w:tc>
        <w:tc>
          <w:tcPr>
            <w:tcW w:w="395" w:type="dxa"/>
            <w:vMerge/>
          </w:tcPr>
          <w:p w:rsidR="003718A2" w:rsidRDefault="003718A2" w:rsidP="001059CC"/>
        </w:tc>
        <w:tc>
          <w:tcPr>
            <w:tcW w:w="1410" w:type="dxa"/>
          </w:tcPr>
          <w:p w:rsidR="003718A2" w:rsidRDefault="003718A2" w:rsidP="001059CC"/>
        </w:tc>
        <w:tc>
          <w:tcPr>
            <w:tcW w:w="4968" w:type="dxa"/>
          </w:tcPr>
          <w:p w:rsidR="003718A2" w:rsidRDefault="003718A2" w:rsidP="003718A2">
            <w:r>
              <w:t>Tariff protection will be needed to allow the domestic industry to develop forward and backward linkages, thus becoming more efficient over time.</w:t>
            </w:r>
          </w:p>
        </w:tc>
      </w:tr>
    </w:tbl>
    <w:p w:rsidR="003718A2" w:rsidRDefault="003718A2" w:rsidP="003718A2">
      <w:pPr>
        <w:ind w:left="360"/>
      </w:pPr>
      <w:r>
        <w:t xml:space="preserve"> </w:t>
      </w:r>
    </w:p>
    <w:p w:rsidR="00E55CA3" w:rsidRDefault="00E55CA3">
      <w:r>
        <w:br w:type="page"/>
      </w:r>
    </w:p>
    <w:p w:rsidR="00FC3939" w:rsidRDefault="00FC3939" w:rsidP="00E55CA3">
      <w:pPr>
        <w:pStyle w:val="ListParagraph"/>
        <w:numPr>
          <w:ilvl w:val="0"/>
          <w:numId w:val="8"/>
        </w:numPr>
      </w:pPr>
      <w:r>
        <w:lastRenderedPageBreak/>
        <w:t>There are four workers in the economy</w:t>
      </w:r>
      <w:r w:rsidR="0069637C">
        <w:t xml:space="preserve"> who differ in their labor quality as defined by their ‘q’ value.  Q is defined on a scale of [0</w:t>
      </w:r>
      <w:proofErr w:type="gramStart"/>
      <w:r w:rsidR="0069637C">
        <w:t>,1</w:t>
      </w:r>
      <w:proofErr w:type="gramEnd"/>
      <w:r w:rsidR="0069637C">
        <w:t>] with higher q being higher quality.  Worker one has q=1, worker two has q=0.7, worker three has q=0.5</w:t>
      </w:r>
      <w:r>
        <w:t>, and work</w:t>
      </w:r>
      <w:r w:rsidR="0069637C">
        <w:t>er four is q=0.2</w:t>
      </w:r>
      <w:r>
        <w:t xml:space="preserve">.  Production takes place using two workers, with output of combining workers i and j defined </w:t>
      </w:r>
      <w:proofErr w:type="gramStart"/>
      <w:r>
        <w:t xml:space="preserve">by </w:t>
      </w:r>
      <w:proofErr w:type="gramEnd"/>
      <w:r w:rsidRPr="00962416">
        <w:rPr>
          <w:position w:val="-14"/>
        </w:rPr>
        <w:object w:dxaOrig="11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0.25pt" o:ole="">
            <v:imagedata r:id="rId7" o:title=""/>
          </v:shape>
          <o:OLEObject Type="Embed" ProgID="Equation.3" ShapeID="_x0000_i1025" DrawAspect="Content" ObjectID="_1391582932" r:id="rId8"/>
        </w:object>
      </w:r>
      <w:r>
        <w:t xml:space="preserve">. </w:t>
      </w:r>
    </w:p>
    <w:p w:rsidR="00FC3939" w:rsidRDefault="00FC3939" w:rsidP="00FC3939"/>
    <w:p w:rsidR="00FC3939" w:rsidRDefault="00FC3939" w:rsidP="00E55CA3">
      <w:pPr>
        <w:ind w:firstLine="360"/>
      </w:pPr>
      <w:r>
        <w:t>a)  Fill in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FC3939" w:rsidTr="00FC3939">
        <w:tc>
          <w:tcPr>
            <w:tcW w:w="1771" w:type="dxa"/>
          </w:tcPr>
          <w:p w:rsidR="00FC3939" w:rsidRDefault="00FC3939" w:rsidP="001059CC">
            <w:r>
              <w:t>Combination 1</w:t>
            </w:r>
          </w:p>
        </w:tc>
        <w:tc>
          <w:tcPr>
            <w:tcW w:w="1771" w:type="dxa"/>
          </w:tcPr>
          <w:p w:rsidR="00FC3939" w:rsidRDefault="00FC3939" w:rsidP="001059CC">
            <w:r>
              <w:t>Resulting output 1</w:t>
            </w:r>
          </w:p>
        </w:tc>
        <w:tc>
          <w:tcPr>
            <w:tcW w:w="1771" w:type="dxa"/>
          </w:tcPr>
          <w:p w:rsidR="00FC3939" w:rsidRDefault="00FC3939" w:rsidP="001059CC">
            <w:r>
              <w:t>Combination 2</w:t>
            </w:r>
          </w:p>
        </w:tc>
        <w:tc>
          <w:tcPr>
            <w:tcW w:w="1771" w:type="dxa"/>
          </w:tcPr>
          <w:p w:rsidR="00FC3939" w:rsidRDefault="00FC3939" w:rsidP="001059CC">
            <w:r>
              <w:t>Resulting output 2</w:t>
            </w:r>
          </w:p>
        </w:tc>
        <w:tc>
          <w:tcPr>
            <w:tcW w:w="1772" w:type="dxa"/>
          </w:tcPr>
          <w:p w:rsidR="00FC3939" w:rsidRDefault="00FC3939" w:rsidP="001059CC">
            <w:r>
              <w:t xml:space="preserve">Total </w:t>
            </w:r>
            <w:proofErr w:type="spellStart"/>
            <w:r>
              <w:t>ouput</w:t>
            </w:r>
            <w:proofErr w:type="spellEnd"/>
            <w:r>
              <w:t xml:space="preserve"> (1+2)</w:t>
            </w:r>
          </w:p>
        </w:tc>
      </w:tr>
      <w:tr w:rsidR="00FC3939" w:rsidTr="00FC3939">
        <w:tc>
          <w:tcPr>
            <w:tcW w:w="1771" w:type="dxa"/>
          </w:tcPr>
          <w:p w:rsidR="00FC3939" w:rsidRDefault="0069637C" w:rsidP="001059CC">
            <w:r>
              <w:t>(1</w:t>
            </w:r>
            <w:r w:rsidR="00FC3939">
              <w:t>,</w:t>
            </w:r>
            <w:r>
              <w:t xml:space="preserve">  0.7</w:t>
            </w:r>
            <w:r w:rsidR="00FC3939">
              <w:t>)</w:t>
            </w:r>
          </w:p>
        </w:tc>
        <w:tc>
          <w:tcPr>
            <w:tcW w:w="1771" w:type="dxa"/>
          </w:tcPr>
          <w:p w:rsidR="00FC3939" w:rsidRDefault="00FC3939" w:rsidP="001059CC"/>
        </w:tc>
        <w:tc>
          <w:tcPr>
            <w:tcW w:w="1771" w:type="dxa"/>
          </w:tcPr>
          <w:p w:rsidR="00FC3939" w:rsidRDefault="0069637C" w:rsidP="001059CC">
            <w:r>
              <w:t>(0.5</w:t>
            </w:r>
            <w:r w:rsidR="00FC3939">
              <w:t xml:space="preserve">, </w:t>
            </w:r>
            <w:r>
              <w:t xml:space="preserve"> 0.2</w:t>
            </w:r>
            <w:r w:rsidR="00FC3939">
              <w:t>)</w:t>
            </w:r>
          </w:p>
        </w:tc>
        <w:tc>
          <w:tcPr>
            <w:tcW w:w="1771" w:type="dxa"/>
          </w:tcPr>
          <w:p w:rsidR="00FC3939" w:rsidRDefault="00FC3939" w:rsidP="001059CC"/>
        </w:tc>
        <w:tc>
          <w:tcPr>
            <w:tcW w:w="1772" w:type="dxa"/>
          </w:tcPr>
          <w:p w:rsidR="00FC3939" w:rsidRDefault="00FC3939" w:rsidP="001059CC"/>
        </w:tc>
      </w:tr>
      <w:tr w:rsidR="00FC3939" w:rsidTr="00FC3939">
        <w:tc>
          <w:tcPr>
            <w:tcW w:w="1771" w:type="dxa"/>
          </w:tcPr>
          <w:p w:rsidR="00FC3939" w:rsidRDefault="0069637C" w:rsidP="001059CC">
            <w:r>
              <w:t>(1</w:t>
            </w:r>
            <w:r w:rsidR="00FC3939">
              <w:t>,</w:t>
            </w:r>
            <w:r>
              <w:t xml:space="preserve">  0.5</w:t>
            </w:r>
            <w:r w:rsidR="00FC3939">
              <w:t>)</w:t>
            </w:r>
          </w:p>
        </w:tc>
        <w:tc>
          <w:tcPr>
            <w:tcW w:w="1771" w:type="dxa"/>
          </w:tcPr>
          <w:p w:rsidR="00FC3939" w:rsidRDefault="00FC3939" w:rsidP="001059CC"/>
        </w:tc>
        <w:tc>
          <w:tcPr>
            <w:tcW w:w="1771" w:type="dxa"/>
          </w:tcPr>
          <w:p w:rsidR="00FC3939" w:rsidRDefault="0069637C" w:rsidP="001059CC">
            <w:r>
              <w:t>(0.7,  0.2</w:t>
            </w:r>
            <w:r w:rsidR="00FC3939">
              <w:t>)</w:t>
            </w:r>
          </w:p>
        </w:tc>
        <w:tc>
          <w:tcPr>
            <w:tcW w:w="1771" w:type="dxa"/>
          </w:tcPr>
          <w:p w:rsidR="00FC3939" w:rsidRDefault="00FC3939" w:rsidP="001059CC"/>
        </w:tc>
        <w:tc>
          <w:tcPr>
            <w:tcW w:w="1772" w:type="dxa"/>
          </w:tcPr>
          <w:p w:rsidR="00FC3939" w:rsidRDefault="00FC3939" w:rsidP="001059CC"/>
        </w:tc>
      </w:tr>
      <w:tr w:rsidR="00FC3939" w:rsidTr="00FC3939">
        <w:tc>
          <w:tcPr>
            <w:tcW w:w="1771" w:type="dxa"/>
          </w:tcPr>
          <w:p w:rsidR="00FC3939" w:rsidRDefault="0069637C" w:rsidP="001059CC">
            <w:r>
              <w:t>(1</w:t>
            </w:r>
            <w:r w:rsidR="00FC3939">
              <w:t>,</w:t>
            </w:r>
            <w:r>
              <w:t xml:space="preserve">  0.2</w:t>
            </w:r>
            <w:r w:rsidR="00FC3939">
              <w:t>)</w:t>
            </w:r>
          </w:p>
        </w:tc>
        <w:tc>
          <w:tcPr>
            <w:tcW w:w="1771" w:type="dxa"/>
          </w:tcPr>
          <w:p w:rsidR="00FC3939" w:rsidRDefault="00FC3939" w:rsidP="001059CC"/>
        </w:tc>
        <w:tc>
          <w:tcPr>
            <w:tcW w:w="1771" w:type="dxa"/>
          </w:tcPr>
          <w:p w:rsidR="00FC3939" w:rsidRDefault="0069637C" w:rsidP="001059CC">
            <w:r>
              <w:t>(0.7</w:t>
            </w:r>
            <w:r w:rsidR="00FC3939">
              <w:t>,</w:t>
            </w:r>
            <w:r>
              <w:t xml:space="preserve">  0.5</w:t>
            </w:r>
            <w:r w:rsidR="00FC3939">
              <w:t>)</w:t>
            </w:r>
          </w:p>
        </w:tc>
        <w:tc>
          <w:tcPr>
            <w:tcW w:w="1771" w:type="dxa"/>
          </w:tcPr>
          <w:p w:rsidR="00FC3939" w:rsidRDefault="00FC3939" w:rsidP="001059CC"/>
        </w:tc>
        <w:tc>
          <w:tcPr>
            <w:tcW w:w="1772" w:type="dxa"/>
          </w:tcPr>
          <w:p w:rsidR="00FC3939" w:rsidRDefault="00FC3939" w:rsidP="001059CC"/>
        </w:tc>
      </w:tr>
    </w:tbl>
    <w:p w:rsidR="00E55CA3" w:rsidRDefault="00E55CA3" w:rsidP="00E55CA3"/>
    <w:p w:rsidR="00FC3939" w:rsidRDefault="00FC3939" w:rsidP="00E55CA3">
      <w:pPr>
        <w:pStyle w:val="ListParagraph"/>
        <w:numPr>
          <w:ilvl w:val="0"/>
          <w:numId w:val="7"/>
        </w:numPr>
      </w:pPr>
      <w:r>
        <w:t xml:space="preserve">Say production can be increased by paying for training that will increase the q of a given worker.   The cost of this training, </w:t>
      </w:r>
      <w:proofErr w:type="gramStart"/>
      <w:r>
        <w:t>c,</w:t>
      </w:r>
      <w:proofErr w:type="gramEnd"/>
      <w:r>
        <w:t xml:space="preserve"> can be expressed in terms of output y.  Training that costs c </w:t>
      </w:r>
      <w:r w:rsidR="0069637C">
        <w:t>raises the skills of a worker as represented by a</w:t>
      </w:r>
      <w:r>
        <w:t xml:space="preserve"> 0.1</w:t>
      </w:r>
      <w:r w:rsidR="00E55CA3">
        <w:t>5</w:t>
      </w:r>
      <w:r w:rsidR="0069637C">
        <w:t xml:space="preserve"> increase in their q value</w:t>
      </w:r>
      <w:r>
        <w:t>.  As you may recall from class, training will be given to the lower q worker in a given pair</w:t>
      </w:r>
      <w:r w:rsidR="0069637C">
        <w:t xml:space="preserve"> so you can just focus on that</w:t>
      </w:r>
      <w:r>
        <w:t xml:space="preserve">.  </w:t>
      </w:r>
    </w:p>
    <w:p w:rsidR="00E55CA3" w:rsidRDefault="00FC3939" w:rsidP="00E55CA3">
      <w:pPr>
        <w:pStyle w:val="ListParagraph"/>
        <w:numPr>
          <w:ilvl w:val="0"/>
          <w:numId w:val="9"/>
        </w:numPr>
      </w:pPr>
      <w:r>
        <w:t xml:space="preserve">If the cost of training is below what level of c will a firm decide to pay for increasing the skill level of the </w:t>
      </w:r>
      <w:r w:rsidR="0069637C">
        <w:t>0.7</w:t>
      </w:r>
      <w:r>
        <w:t xml:space="preserve"> worker in a </w:t>
      </w:r>
      <w:r w:rsidR="0069637C">
        <w:t xml:space="preserve"> (1</w:t>
      </w:r>
      <w:r>
        <w:t>,</w:t>
      </w:r>
      <w:r w:rsidR="0069637C">
        <w:t xml:space="preserve"> </w:t>
      </w:r>
      <w:r>
        <w:t>0.</w:t>
      </w:r>
      <w:r w:rsidR="0069637C">
        <w:t>7</w:t>
      </w:r>
      <w:r>
        <w:t>) pairing?</w:t>
      </w:r>
    </w:p>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FC3939" w:rsidRDefault="00E55CA3" w:rsidP="00E55CA3">
      <w:pPr>
        <w:pStyle w:val="ListParagraph"/>
        <w:numPr>
          <w:ilvl w:val="0"/>
          <w:numId w:val="10"/>
        </w:numPr>
      </w:pPr>
      <w:r>
        <w:t>If the cost of training is 0.1</w:t>
      </w:r>
      <w:r w:rsidR="0069637C">
        <w:t xml:space="preserve"> does it make sense to train the q=0.2 person in the (0.5,</w:t>
      </w:r>
      <w:r>
        <w:t xml:space="preserve"> </w:t>
      </w:r>
      <w:r w:rsidR="0069637C">
        <w:t>0.2) pair if the training raises the skills of this worker by 0.1</w:t>
      </w:r>
      <w:r>
        <w:t>5</w:t>
      </w:r>
      <w:r w:rsidR="0069637C">
        <w:t xml:space="preserve"> to 0.3</w:t>
      </w:r>
      <w:r>
        <w:t>5</w:t>
      </w:r>
      <w:r w:rsidR="00FC3939">
        <w:t>?</w:t>
      </w:r>
      <w:r>
        <w:t xml:space="preserve">  Why or why not?</w:t>
      </w:r>
    </w:p>
    <w:p w:rsidR="00FD4476" w:rsidRDefault="00FD4476" w:rsidP="00FD4476"/>
    <w:p w:rsidR="00FD4476" w:rsidRDefault="00FD4476" w:rsidP="00FD4476"/>
    <w:p w:rsidR="00FD4476" w:rsidRDefault="00FD4476" w:rsidP="00FD4476"/>
    <w:p w:rsidR="00FD4476" w:rsidRDefault="00FD4476" w:rsidP="00FD4476"/>
    <w:p w:rsidR="00FD4476" w:rsidRDefault="00FD4476" w:rsidP="00FD4476"/>
    <w:p w:rsidR="00FD4476" w:rsidRDefault="00FD4476" w:rsidP="00FD4476"/>
    <w:p w:rsidR="00FD4476" w:rsidRDefault="00FD4476" w:rsidP="00FD4476"/>
    <w:p w:rsidR="00FD4476" w:rsidRDefault="00FD4476" w:rsidP="00FD4476"/>
    <w:p w:rsidR="00FD4476" w:rsidRDefault="00FD4476" w:rsidP="00FD4476"/>
    <w:p w:rsidR="00FD4476" w:rsidRDefault="00FD4476" w:rsidP="00FD4476"/>
    <w:p w:rsidR="00FD4476" w:rsidRDefault="00FD4476" w:rsidP="00E55CA3">
      <w:pPr>
        <w:pStyle w:val="ListParagraph"/>
        <w:numPr>
          <w:ilvl w:val="0"/>
          <w:numId w:val="10"/>
        </w:numPr>
      </w:pPr>
      <w:r>
        <w:t>Contrast your answers to (i) and (ii) to illustrate why the O-ring theory can</w:t>
      </w:r>
      <w:r w:rsidR="00C46545">
        <w:t xml:space="preserve"> be used to explain a lack of ‘convergence’</w:t>
      </w:r>
      <w:r>
        <w:t xml:space="preserve">. </w:t>
      </w:r>
    </w:p>
    <w:p w:rsidR="00AC1439" w:rsidRDefault="00FC3939" w:rsidP="00E55CA3">
      <w:pPr>
        <w:pStyle w:val="ListParagraph"/>
        <w:numPr>
          <w:ilvl w:val="0"/>
          <w:numId w:val="8"/>
        </w:numPr>
      </w:pPr>
      <w:r>
        <w:br w:type="page"/>
      </w:r>
      <w:r w:rsidR="00E55CA3">
        <w:lastRenderedPageBreak/>
        <w:t xml:space="preserve"> Consider the following set of figures taken from the textbook and answer the questions below.</w:t>
      </w:r>
    </w:p>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0E2BCF" w:rsidP="00E55CA3">
      <w:pPr>
        <w:pStyle w:val="ListParagraph"/>
        <w:numPr>
          <w:ilvl w:val="0"/>
          <w:numId w:val="11"/>
        </w:numPr>
      </w:pPr>
      <w:r>
        <w:t xml:space="preserve"> What is the name </w:t>
      </w:r>
      <w:r w:rsidR="001B5F0C">
        <w:t>usually given to</w:t>
      </w:r>
      <w:r>
        <w:t xml:space="preserve"> this model?</w:t>
      </w:r>
    </w:p>
    <w:p w:rsidR="00E55CA3" w:rsidRDefault="00E55CA3" w:rsidP="00E55CA3"/>
    <w:p w:rsidR="00E55CA3" w:rsidRDefault="00E55CA3" w:rsidP="00E55CA3"/>
    <w:p w:rsidR="00E55CA3" w:rsidRDefault="00E55CA3" w:rsidP="00E55CA3"/>
    <w:p w:rsidR="00E55CA3" w:rsidRDefault="00E55CA3" w:rsidP="00E55CA3">
      <w:pPr>
        <w:pStyle w:val="ListParagraph"/>
        <w:numPr>
          <w:ilvl w:val="0"/>
          <w:numId w:val="11"/>
        </w:numPr>
      </w:pPr>
      <w:r>
        <w:t xml:space="preserve">What </w:t>
      </w:r>
      <w:r w:rsidR="001B5F0C">
        <w:t xml:space="preserve">qualitative </w:t>
      </w:r>
      <w:r>
        <w:t>change in the economy of a country is this model designed to describe?</w:t>
      </w:r>
    </w:p>
    <w:p w:rsidR="00E55CA3" w:rsidRDefault="00E55CA3" w:rsidP="00E55CA3">
      <w:pPr>
        <w:pStyle w:val="ListParagraph"/>
      </w:pPr>
    </w:p>
    <w:p w:rsidR="00E55CA3" w:rsidRDefault="00E55CA3" w:rsidP="00E55CA3">
      <w:pPr>
        <w:pStyle w:val="ListParagraph"/>
      </w:pPr>
    </w:p>
    <w:p w:rsidR="00E55CA3" w:rsidRDefault="00E55CA3" w:rsidP="00E55CA3">
      <w:pPr>
        <w:pStyle w:val="ListParagraph"/>
      </w:pPr>
    </w:p>
    <w:p w:rsidR="00FD4476" w:rsidRDefault="00FD4476" w:rsidP="00E55CA3">
      <w:pPr>
        <w:pStyle w:val="ListParagraph"/>
      </w:pPr>
    </w:p>
    <w:p w:rsidR="00FD4476" w:rsidRDefault="00FD4476" w:rsidP="00E55CA3">
      <w:pPr>
        <w:pStyle w:val="ListParagraph"/>
      </w:pPr>
    </w:p>
    <w:p w:rsidR="00E55CA3" w:rsidRDefault="00E55CA3" w:rsidP="00E55CA3">
      <w:pPr>
        <w:pStyle w:val="ListParagraph"/>
        <w:numPr>
          <w:ilvl w:val="0"/>
          <w:numId w:val="11"/>
        </w:numPr>
      </w:pPr>
      <w:r>
        <w:t xml:space="preserve">How does the model </w:t>
      </w:r>
      <w:r w:rsidR="00FD4476">
        <w:t>describe</w:t>
      </w:r>
      <w:r>
        <w:t xml:space="preserve"> the </w:t>
      </w:r>
      <w:r w:rsidR="00FD4476">
        <w:t xml:space="preserve">economic forces that lead to the </w:t>
      </w:r>
      <w:r>
        <w:t>increase in the capital stock from K</w:t>
      </w:r>
      <w:r>
        <w:rPr>
          <w:vertAlign w:val="subscript"/>
        </w:rPr>
        <w:t>M1</w:t>
      </w:r>
      <w:r>
        <w:t xml:space="preserve"> to K</w:t>
      </w:r>
      <w:r>
        <w:rPr>
          <w:vertAlign w:val="subscript"/>
        </w:rPr>
        <w:t>M2</w:t>
      </w:r>
      <w:r>
        <w:t>?</w:t>
      </w:r>
    </w:p>
    <w:p w:rsidR="00E55CA3" w:rsidRDefault="00E55CA3" w:rsidP="00E55CA3">
      <w:pPr>
        <w:pStyle w:val="ListParagraph"/>
      </w:pPr>
    </w:p>
    <w:p w:rsidR="00E55CA3" w:rsidRDefault="00E55CA3" w:rsidP="00E55CA3">
      <w:pPr>
        <w:pStyle w:val="ListParagraph"/>
      </w:pPr>
    </w:p>
    <w:p w:rsidR="00FD4476" w:rsidRDefault="00FD4476">
      <w:r>
        <w:br w:type="page"/>
      </w:r>
    </w:p>
    <w:p w:rsidR="000E2BCF" w:rsidRDefault="000E2BCF" w:rsidP="000E2BCF">
      <w:pPr>
        <w:pStyle w:val="ListParagraph"/>
        <w:numPr>
          <w:ilvl w:val="0"/>
          <w:numId w:val="8"/>
        </w:numPr>
      </w:pPr>
      <w:r>
        <w:lastRenderedPageBreak/>
        <w:t>Exchange rates.</w:t>
      </w:r>
    </w:p>
    <w:p w:rsidR="00E55CA3" w:rsidRDefault="000E2BCF" w:rsidP="000E2BCF">
      <w:pPr>
        <w:pStyle w:val="ListParagraph"/>
        <w:numPr>
          <w:ilvl w:val="1"/>
          <w:numId w:val="8"/>
        </w:numPr>
      </w:pPr>
      <w:r>
        <w:t xml:space="preserve"> Illustrate on a supply and demand for foreign currency graph the impact of an overvalued official exchange rate.  </w:t>
      </w:r>
    </w:p>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C46545" w:rsidP="00C46545">
      <w:pPr>
        <w:pStyle w:val="ListParagraph"/>
        <w:numPr>
          <w:ilvl w:val="1"/>
          <w:numId w:val="8"/>
        </w:numPr>
      </w:pPr>
      <w:r>
        <w:t xml:space="preserve">In a country with an </w:t>
      </w:r>
      <w:r w:rsidR="000E2BCF">
        <w:t>overva</w:t>
      </w:r>
      <w:r>
        <w:t>lued official exchange rate, are importers or exporters in the country likely to be harmed by the exchange rate policy</w:t>
      </w:r>
      <w:r w:rsidR="000E2BCF">
        <w:t xml:space="preserve">?  Explain briefly. </w:t>
      </w:r>
    </w:p>
    <w:p w:rsidR="000E2BCF" w:rsidRDefault="000E2BCF">
      <w:r>
        <w:br w:type="page"/>
      </w:r>
    </w:p>
    <w:p w:rsidR="00572B8E" w:rsidRDefault="000E2BCF" w:rsidP="000E2BCF">
      <w:r>
        <w:lastRenderedPageBreak/>
        <w:t xml:space="preserve"> </w:t>
      </w:r>
    </w:p>
    <w:p w:rsidR="00572B8E" w:rsidRDefault="00C46545" w:rsidP="00572B8E">
      <w:pPr>
        <w:pStyle w:val="ListParagraph"/>
        <w:numPr>
          <w:ilvl w:val="0"/>
          <w:numId w:val="8"/>
        </w:numPr>
      </w:pPr>
      <w:proofErr w:type="spellStart"/>
      <w:r>
        <w:t>Landlockia</w:t>
      </w:r>
      <w:proofErr w:type="spellEnd"/>
      <w:r>
        <w:t xml:space="preserve"> workers can produce 11</w:t>
      </w:r>
      <w:r w:rsidR="00572B8E">
        <w:t xml:space="preserve"> units of dri</w:t>
      </w:r>
      <w:r>
        <w:t>ed fish per unit of labor and 15</w:t>
      </w:r>
      <w:r w:rsidR="00572B8E">
        <w:t xml:space="preserve"> units of millet per unit of labor.  </w:t>
      </w:r>
      <w:r w:rsidR="00FE73A9">
        <w:t xml:space="preserve">Neighboring </w:t>
      </w:r>
      <w:proofErr w:type="spellStart"/>
      <w:r w:rsidR="00572B8E">
        <w:t>Costalia</w:t>
      </w:r>
      <w:proofErr w:type="spellEnd"/>
      <w:r w:rsidR="00572B8E">
        <w:t xml:space="preserve"> workers can produce 10 units of dried fish an</w:t>
      </w:r>
      <w:r w:rsidR="00551EDE">
        <w:t>d 12</w:t>
      </w:r>
      <w:r w:rsidR="00572B8E">
        <w:t xml:space="preserve"> units of millet per unit of labor.  </w:t>
      </w:r>
    </w:p>
    <w:p w:rsidR="00572B8E" w:rsidRDefault="00572B8E" w:rsidP="00572B8E">
      <w:pPr>
        <w:numPr>
          <w:ilvl w:val="1"/>
          <w:numId w:val="8"/>
        </w:numPr>
      </w:pPr>
      <w:r>
        <w:t>Write out the production functions for each good in each of the two countries with units of output as a function of units of labor.</w:t>
      </w:r>
    </w:p>
    <w:tbl>
      <w:tblPr>
        <w:tblStyle w:val="TableGrid"/>
        <w:tblW w:w="0" w:type="auto"/>
        <w:tblLook w:val="01E0" w:firstRow="1" w:lastRow="1" w:firstColumn="1" w:lastColumn="1" w:noHBand="0" w:noVBand="0"/>
      </w:tblPr>
      <w:tblGrid>
        <w:gridCol w:w="2952"/>
        <w:gridCol w:w="2952"/>
        <w:gridCol w:w="2952"/>
      </w:tblGrid>
      <w:tr w:rsidR="00572B8E" w:rsidTr="001059CC">
        <w:tc>
          <w:tcPr>
            <w:tcW w:w="2952" w:type="dxa"/>
          </w:tcPr>
          <w:p w:rsidR="00572B8E" w:rsidRDefault="00572B8E" w:rsidP="001059CC"/>
        </w:tc>
        <w:tc>
          <w:tcPr>
            <w:tcW w:w="2952" w:type="dxa"/>
          </w:tcPr>
          <w:p w:rsidR="00572B8E" w:rsidRDefault="00572B8E" w:rsidP="001059CC">
            <w:r>
              <w:t>Dried Fish</w:t>
            </w:r>
          </w:p>
        </w:tc>
        <w:tc>
          <w:tcPr>
            <w:tcW w:w="2952" w:type="dxa"/>
          </w:tcPr>
          <w:p w:rsidR="00572B8E" w:rsidRDefault="00572B8E" w:rsidP="001059CC">
            <w:r>
              <w:t>Millet</w:t>
            </w:r>
          </w:p>
        </w:tc>
      </w:tr>
      <w:tr w:rsidR="00572B8E" w:rsidTr="001059CC">
        <w:tc>
          <w:tcPr>
            <w:tcW w:w="2952" w:type="dxa"/>
          </w:tcPr>
          <w:p w:rsidR="00572B8E" w:rsidRDefault="00572B8E" w:rsidP="001059CC">
            <w:proofErr w:type="spellStart"/>
            <w:r>
              <w:t>Landlockia</w:t>
            </w:r>
            <w:proofErr w:type="spellEnd"/>
          </w:p>
        </w:tc>
        <w:tc>
          <w:tcPr>
            <w:tcW w:w="2952" w:type="dxa"/>
          </w:tcPr>
          <w:p w:rsidR="00572B8E" w:rsidRDefault="00572B8E" w:rsidP="001059CC"/>
        </w:tc>
        <w:tc>
          <w:tcPr>
            <w:tcW w:w="2952" w:type="dxa"/>
          </w:tcPr>
          <w:p w:rsidR="00572B8E" w:rsidRDefault="00572B8E" w:rsidP="001059CC"/>
        </w:tc>
      </w:tr>
      <w:tr w:rsidR="00572B8E" w:rsidTr="001059CC">
        <w:tc>
          <w:tcPr>
            <w:tcW w:w="2952" w:type="dxa"/>
          </w:tcPr>
          <w:p w:rsidR="00572B8E" w:rsidRDefault="00572B8E" w:rsidP="001059CC">
            <w:proofErr w:type="spellStart"/>
            <w:r>
              <w:t>Costalia</w:t>
            </w:r>
            <w:proofErr w:type="spellEnd"/>
          </w:p>
        </w:tc>
        <w:tc>
          <w:tcPr>
            <w:tcW w:w="2952" w:type="dxa"/>
          </w:tcPr>
          <w:p w:rsidR="00572B8E" w:rsidRDefault="00572B8E" w:rsidP="001059CC"/>
        </w:tc>
        <w:tc>
          <w:tcPr>
            <w:tcW w:w="2952" w:type="dxa"/>
          </w:tcPr>
          <w:p w:rsidR="00572B8E" w:rsidRDefault="00572B8E" w:rsidP="001059CC"/>
        </w:tc>
      </w:tr>
    </w:tbl>
    <w:p w:rsidR="00572B8E" w:rsidRDefault="00572B8E" w:rsidP="00572B8E"/>
    <w:p w:rsidR="00572B8E" w:rsidRDefault="00572B8E" w:rsidP="00572B8E">
      <w:pPr>
        <w:numPr>
          <w:ilvl w:val="1"/>
          <w:numId w:val="8"/>
        </w:numPr>
      </w:pPr>
      <w:r>
        <w:t xml:space="preserve">If there are 100 laborers </w:t>
      </w:r>
      <w:r w:rsidR="00B447DD">
        <w:t xml:space="preserve">in </w:t>
      </w:r>
      <w:proofErr w:type="spellStart"/>
      <w:r w:rsidR="00B447DD">
        <w:t>Landlockia</w:t>
      </w:r>
      <w:proofErr w:type="spellEnd"/>
      <w:r w:rsidR="00B447DD">
        <w:t xml:space="preserve"> and 1</w:t>
      </w:r>
      <w:r>
        <w:t xml:space="preserve">00 in </w:t>
      </w:r>
      <w:proofErr w:type="spellStart"/>
      <w:r>
        <w:t>Costalia</w:t>
      </w:r>
      <w:proofErr w:type="spellEnd"/>
      <w:r>
        <w:t>, describe the level of production of each commodity in</w:t>
      </w:r>
      <w:r w:rsidR="001E15A7">
        <w:t xml:space="preserve"> each country in autarky if each country</w:t>
      </w:r>
      <w:r>
        <w:t xml:space="preserve"> divide</w:t>
      </w:r>
      <w:r w:rsidR="001E15A7">
        <w:t>s</w:t>
      </w:r>
      <w:r>
        <w:t xml:space="preserve"> up their labor force with half of the work force allocated to each commodity.</w:t>
      </w:r>
    </w:p>
    <w:p w:rsidR="00572B8E" w:rsidRDefault="00572B8E" w:rsidP="00572B8E">
      <w:pPr>
        <w:ind w:left="720"/>
      </w:pPr>
    </w:p>
    <w:tbl>
      <w:tblPr>
        <w:tblStyle w:val="TableGrid"/>
        <w:tblW w:w="0" w:type="auto"/>
        <w:tblLook w:val="01E0" w:firstRow="1" w:lastRow="1" w:firstColumn="1" w:lastColumn="1" w:noHBand="0" w:noVBand="0"/>
      </w:tblPr>
      <w:tblGrid>
        <w:gridCol w:w="2952"/>
        <w:gridCol w:w="2952"/>
        <w:gridCol w:w="2952"/>
      </w:tblGrid>
      <w:tr w:rsidR="00572B8E" w:rsidTr="001059CC">
        <w:tc>
          <w:tcPr>
            <w:tcW w:w="2952" w:type="dxa"/>
          </w:tcPr>
          <w:p w:rsidR="00572B8E" w:rsidRDefault="00572B8E" w:rsidP="001059CC"/>
        </w:tc>
        <w:tc>
          <w:tcPr>
            <w:tcW w:w="2952" w:type="dxa"/>
          </w:tcPr>
          <w:p w:rsidR="00572B8E" w:rsidRDefault="00572B8E" w:rsidP="001059CC">
            <w:r>
              <w:t>Dried Fish</w:t>
            </w:r>
          </w:p>
        </w:tc>
        <w:tc>
          <w:tcPr>
            <w:tcW w:w="2952" w:type="dxa"/>
          </w:tcPr>
          <w:p w:rsidR="00572B8E" w:rsidRDefault="00572B8E" w:rsidP="001059CC">
            <w:r>
              <w:t>Millet</w:t>
            </w:r>
          </w:p>
        </w:tc>
      </w:tr>
      <w:tr w:rsidR="00572B8E" w:rsidTr="001059CC">
        <w:tc>
          <w:tcPr>
            <w:tcW w:w="2952" w:type="dxa"/>
          </w:tcPr>
          <w:p w:rsidR="00572B8E" w:rsidRDefault="00572B8E" w:rsidP="001059CC">
            <w:proofErr w:type="spellStart"/>
            <w:r>
              <w:t>Landlockia</w:t>
            </w:r>
            <w:proofErr w:type="spellEnd"/>
          </w:p>
        </w:tc>
        <w:tc>
          <w:tcPr>
            <w:tcW w:w="2952" w:type="dxa"/>
          </w:tcPr>
          <w:p w:rsidR="00572B8E" w:rsidRDefault="00572B8E" w:rsidP="001059CC"/>
        </w:tc>
        <w:tc>
          <w:tcPr>
            <w:tcW w:w="2952" w:type="dxa"/>
          </w:tcPr>
          <w:p w:rsidR="00572B8E" w:rsidRDefault="00572B8E" w:rsidP="001059CC"/>
        </w:tc>
      </w:tr>
      <w:tr w:rsidR="00572B8E" w:rsidTr="001059CC">
        <w:tc>
          <w:tcPr>
            <w:tcW w:w="2952" w:type="dxa"/>
          </w:tcPr>
          <w:p w:rsidR="00572B8E" w:rsidRDefault="00572B8E" w:rsidP="001059CC">
            <w:proofErr w:type="spellStart"/>
            <w:r>
              <w:t>Costalia</w:t>
            </w:r>
            <w:proofErr w:type="spellEnd"/>
          </w:p>
        </w:tc>
        <w:tc>
          <w:tcPr>
            <w:tcW w:w="2952" w:type="dxa"/>
          </w:tcPr>
          <w:p w:rsidR="00572B8E" w:rsidRDefault="00572B8E" w:rsidP="001059CC"/>
        </w:tc>
        <w:tc>
          <w:tcPr>
            <w:tcW w:w="2952" w:type="dxa"/>
          </w:tcPr>
          <w:p w:rsidR="00572B8E" w:rsidRDefault="00572B8E" w:rsidP="001059CC"/>
        </w:tc>
      </w:tr>
      <w:tr w:rsidR="00572B8E" w:rsidTr="001059CC">
        <w:tc>
          <w:tcPr>
            <w:tcW w:w="2952" w:type="dxa"/>
          </w:tcPr>
          <w:p w:rsidR="00572B8E" w:rsidRDefault="00572B8E" w:rsidP="001059CC">
            <w:r>
              <w:t>TOTAL</w:t>
            </w:r>
          </w:p>
        </w:tc>
        <w:tc>
          <w:tcPr>
            <w:tcW w:w="2952" w:type="dxa"/>
          </w:tcPr>
          <w:p w:rsidR="00572B8E" w:rsidRDefault="00572B8E" w:rsidP="001059CC"/>
        </w:tc>
        <w:tc>
          <w:tcPr>
            <w:tcW w:w="2952" w:type="dxa"/>
          </w:tcPr>
          <w:p w:rsidR="00572B8E" w:rsidRDefault="00572B8E" w:rsidP="001059CC"/>
        </w:tc>
      </w:tr>
    </w:tbl>
    <w:p w:rsidR="00572B8E" w:rsidRDefault="00572B8E" w:rsidP="00572B8E"/>
    <w:p w:rsidR="00572B8E" w:rsidRDefault="00572B8E" w:rsidP="00572B8E">
      <w:pPr>
        <w:numPr>
          <w:ilvl w:val="1"/>
          <w:numId w:val="8"/>
        </w:numPr>
      </w:pPr>
      <w:r>
        <w:t>Illu</w:t>
      </w:r>
      <w:r w:rsidR="00FE73A9">
        <w:t>strate by moving 9</w:t>
      </w:r>
      <w:r w:rsidR="001E15A7">
        <w:t xml:space="preserve"> of </w:t>
      </w:r>
      <w:proofErr w:type="spellStart"/>
      <w:r w:rsidR="001E15A7">
        <w:t>Landlockia’s</w:t>
      </w:r>
      <w:proofErr w:type="spellEnd"/>
      <w:r w:rsidR="001E15A7">
        <w:t xml:space="preserve"> workers and 10 of </w:t>
      </w:r>
      <w:proofErr w:type="spellStart"/>
      <w:r w:rsidR="001E15A7">
        <w:t>Costalia’s</w:t>
      </w:r>
      <w:proofErr w:type="spellEnd"/>
      <w:r w:rsidR="001E15A7">
        <w:t xml:space="preserve"> workers</w:t>
      </w:r>
      <w:r>
        <w:t xml:space="preserve"> to the commodity for which they have comparative advantage how it is possible to increase total production of the two goods without using any new resources.</w:t>
      </w:r>
    </w:p>
    <w:tbl>
      <w:tblPr>
        <w:tblStyle w:val="TableGrid"/>
        <w:tblW w:w="0" w:type="auto"/>
        <w:tblLook w:val="01E0" w:firstRow="1" w:lastRow="1" w:firstColumn="1" w:lastColumn="1" w:noHBand="0" w:noVBand="0"/>
      </w:tblPr>
      <w:tblGrid>
        <w:gridCol w:w="2952"/>
        <w:gridCol w:w="2952"/>
        <w:gridCol w:w="2952"/>
      </w:tblGrid>
      <w:tr w:rsidR="00572B8E" w:rsidTr="001059CC">
        <w:tc>
          <w:tcPr>
            <w:tcW w:w="2952" w:type="dxa"/>
          </w:tcPr>
          <w:p w:rsidR="00572B8E" w:rsidRDefault="00572B8E" w:rsidP="001059CC"/>
        </w:tc>
        <w:tc>
          <w:tcPr>
            <w:tcW w:w="2952" w:type="dxa"/>
          </w:tcPr>
          <w:p w:rsidR="00572B8E" w:rsidRDefault="00572B8E" w:rsidP="001059CC">
            <w:r>
              <w:t>Dried Fish</w:t>
            </w:r>
          </w:p>
        </w:tc>
        <w:tc>
          <w:tcPr>
            <w:tcW w:w="2952" w:type="dxa"/>
          </w:tcPr>
          <w:p w:rsidR="00572B8E" w:rsidRDefault="00572B8E" w:rsidP="001059CC">
            <w:r>
              <w:t>Millet</w:t>
            </w:r>
          </w:p>
        </w:tc>
      </w:tr>
      <w:tr w:rsidR="00572B8E" w:rsidTr="001059CC">
        <w:tc>
          <w:tcPr>
            <w:tcW w:w="2952" w:type="dxa"/>
          </w:tcPr>
          <w:p w:rsidR="00572B8E" w:rsidRDefault="00572B8E" w:rsidP="001059CC">
            <w:proofErr w:type="spellStart"/>
            <w:r>
              <w:t>Landlockia</w:t>
            </w:r>
            <w:proofErr w:type="spellEnd"/>
          </w:p>
        </w:tc>
        <w:tc>
          <w:tcPr>
            <w:tcW w:w="2952" w:type="dxa"/>
          </w:tcPr>
          <w:p w:rsidR="00572B8E" w:rsidRDefault="00572B8E" w:rsidP="001059CC"/>
        </w:tc>
        <w:tc>
          <w:tcPr>
            <w:tcW w:w="2952" w:type="dxa"/>
          </w:tcPr>
          <w:p w:rsidR="00572B8E" w:rsidRDefault="00572B8E" w:rsidP="001059CC"/>
        </w:tc>
      </w:tr>
      <w:tr w:rsidR="00572B8E" w:rsidTr="001059CC">
        <w:tc>
          <w:tcPr>
            <w:tcW w:w="2952" w:type="dxa"/>
          </w:tcPr>
          <w:p w:rsidR="00572B8E" w:rsidRDefault="00572B8E" w:rsidP="001059CC">
            <w:proofErr w:type="spellStart"/>
            <w:r>
              <w:t>Costalia</w:t>
            </w:r>
            <w:proofErr w:type="spellEnd"/>
          </w:p>
        </w:tc>
        <w:tc>
          <w:tcPr>
            <w:tcW w:w="2952" w:type="dxa"/>
          </w:tcPr>
          <w:p w:rsidR="00572B8E" w:rsidRDefault="00572B8E" w:rsidP="001059CC"/>
        </w:tc>
        <w:tc>
          <w:tcPr>
            <w:tcW w:w="2952" w:type="dxa"/>
          </w:tcPr>
          <w:p w:rsidR="00572B8E" w:rsidRDefault="00572B8E" w:rsidP="001059CC"/>
        </w:tc>
      </w:tr>
      <w:tr w:rsidR="00572B8E" w:rsidTr="001059CC">
        <w:tc>
          <w:tcPr>
            <w:tcW w:w="2952" w:type="dxa"/>
          </w:tcPr>
          <w:p w:rsidR="00572B8E" w:rsidRDefault="00572B8E" w:rsidP="001059CC">
            <w:r>
              <w:t>NEW TOTAL</w:t>
            </w:r>
          </w:p>
        </w:tc>
        <w:tc>
          <w:tcPr>
            <w:tcW w:w="2952" w:type="dxa"/>
          </w:tcPr>
          <w:p w:rsidR="00572B8E" w:rsidRDefault="00572B8E" w:rsidP="001059CC"/>
        </w:tc>
        <w:tc>
          <w:tcPr>
            <w:tcW w:w="2952" w:type="dxa"/>
          </w:tcPr>
          <w:p w:rsidR="00572B8E" w:rsidRDefault="00572B8E" w:rsidP="001059CC"/>
        </w:tc>
      </w:tr>
    </w:tbl>
    <w:p w:rsidR="00572B8E" w:rsidRDefault="00572B8E" w:rsidP="00572B8E">
      <w:r>
        <w:br w:type="page"/>
      </w:r>
    </w:p>
    <w:p w:rsidR="006218E4" w:rsidRDefault="00BA55F4" w:rsidP="006218E4">
      <w:r>
        <w:lastRenderedPageBreak/>
        <w:t>8</w:t>
      </w:r>
      <w:r w:rsidR="000E2BCF">
        <w:t xml:space="preserve">) </w:t>
      </w:r>
      <w:r w:rsidR="006218E4">
        <w:t>Illustrate the following:</w:t>
      </w:r>
    </w:p>
    <w:p w:rsidR="006218E4" w:rsidRDefault="006218E4" w:rsidP="006218E4"/>
    <w:p w:rsidR="006218E4" w:rsidRDefault="006218E4" w:rsidP="006218E4">
      <w:pPr>
        <w:numPr>
          <w:ilvl w:val="0"/>
          <w:numId w:val="17"/>
        </w:numPr>
      </w:pPr>
      <w:r>
        <w:t xml:space="preserve">Place a tariff on the imported commodity such that the selling price with the tariff included is 4.  Show the level of domestic supply, the level of international supply, and the tax revenue generated.  Y axis is price, x axis is quantity. </w:t>
      </w:r>
    </w:p>
    <w:p w:rsidR="001B5F0C" w:rsidRDefault="006218E4" w:rsidP="00FE73A9">
      <w:r w:rsidRPr="006218E4">
        <w:rPr>
          <w:noProof/>
        </w:rPr>
        <w:drawing>
          <wp:inline distT="0" distB="0" distL="0" distR="0">
            <wp:extent cx="531495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314950" cy="2743200"/>
                    </a:xfrm>
                    <a:prstGeom prst="rect">
                      <a:avLst/>
                    </a:prstGeom>
                    <a:noFill/>
                    <a:ln w="9525">
                      <a:noFill/>
                      <a:miter lim="800000"/>
                      <a:headEnd/>
                      <a:tailEnd/>
                    </a:ln>
                  </pic:spPr>
                </pic:pic>
              </a:graphicData>
            </a:graphic>
          </wp:inline>
        </w:drawing>
      </w:r>
    </w:p>
    <w:p w:rsidR="006218E4" w:rsidRDefault="006218E4" w:rsidP="00FE73A9"/>
    <w:p w:rsidR="006218E4" w:rsidRPr="00721DEE" w:rsidRDefault="006218E4" w:rsidP="006218E4">
      <w:pPr>
        <w:pStyle w:val="ListParagraph"/>
        <w:numPr>
          <w:ilvl w:val="0"/>
          <w:numId w:val="17"/>
        </w:numPr>
      </w:pPr>
      <w:r w:rsidRPr="00721DEE">
        <w:t>Illustrate on the production function the impact of technological progress, with output on the y-axis and the input on the x-axis.</w:t>
      </w:r>
    </w:p>
    <w:p w:rsidR="006218E4" w:rsidRPr="00721DEE" w:rsidRDefault="006218E4" w:rsidP="006218E4">
      <w:r>
        <w:rPr>
          <w:noProof/>
        </w:rPr>
        <w:drawing>
          <wp:inline distT="0" distB="0" distL="0" distR="0">
            <wp:extent cx="46863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686300" cy="2743200"/>
                    </a:xfrm>
                    <a:prstGeom prst="rect">
                      <a:avLst/>
                    </a:prstGeom>
                    <a:noFill/>
                    <a:ln w="9525">
                      <a:noFill/>
                      <a:miter lim="800000"/>
                      <a:headEnd/>
                      <a:tailEnd/>
                    </a:ln>
                  </pic:spPr>
                </pic:pic>
              </a:graphicData>
            </a:graphic>
          </wp:inline>
        </w:drawing>
      </w:r>
    </w:p>
    <w:p w:rsidR="006218E4" w:rsidRPr="00721DEE" w:rsidRDefault="006218E4" w:rsidP="006218E4"/>
    <w:p w:rsidR="006218E4" w:rsidRDefault="006218E4" w:rsidP="00FE73A9"/>
    <w:p w:rsidR="001B5F0C" w:rsidRDefault="001B5F0C" w:rsidP="001B5F0C">
      <w:pPr>
        <w:pStyle w:val="ListParagraph"/>
        <w:ind w:left="1080"/>
      </w:pPr>
    </w:p>
    <w:p w:rsidR="001B5F0C" w:rsidRDefault="001B5F0C" w:rsidP="001B5F0C">
      <w:pPr>
        <w:pStyle w:val="ListParagraph"/>
        <w:ind w:left="1080"/>
      </w:pPr>
    </w:p>
    <w:p w:rsidR="001B5F0C" w:rsidRDefault="001B5F0C" w:rsidP="001B5F0C"/>
    <w:p w:rsidR="00BA55F4" w:rsidRDefault="000E2BCF" w:rsidP="001B5F0C">
      <w:r>
        <w:br w:type="page"/>
      </w:r>
      <w:r w:rsidR="00BA55F4">
        <w:lastRenderedPageBreak/>
        <w:t>9) Define:</w:t>
      </w:r>
    </w:p>
    <w:p w:rsidR="00BA55F4" w:rsidRDefault="00BA55F4" w:rsidP="00BA55F4">
      <w:pPr>
        <w:numPr>
          <w:ilvl w:val="1"/>
          <w:numId w:val="13"/>
        </w:numPr>
      </w:pPr>
      <w:r>
        <w:t xml:space="preserve"> The Human Development Index.</w:t>
      </w:r>
    </w:p>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6218E4" w:rsidP="00BA55F4">
      <w:pPr>
        <w:numPr>
          <w:ilvl w:val="1"/>
          <w:numId w:val="13"/>
        </w:numPr>
      </w:pPr>
      <w:r>
        <w:t>Dumping</w:t>
      </w:r>
      <w:r w:rsidR="00BA55F4">
        <w:t>.</w:t>
      </w:r>
    </w:p>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Pr>
        <w:numPr>
          <w:ilvl w:val="1"/>
          <w:numId w:val="13"/>
        </w:numPr>
      </w:pPr>
      <w:r>
        <w:t>An “import substitution industrialization” strategy.</w:t>
      </w:r>
    </w:p>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6218E4" w:rsidP="00BA55F4">
      <w:pPr>
        <w:numPr>
          <w:ilvl w:val="1"/>
          <w:numId w:val="13"/>
        </w:numPr>
      </w:pPr>
      <w:r>
        <w:t>Transfer pricing</w:t>
      </w:r>
      <w:r w:rsidR="00BA55F4">
        <w:t>.</w:t>
      </w:r>
    </w:p>
    <w:p w:rsidR="00493D84" w:rsidRDefault="00493D84">
      <w:r>
        <w:br w:type="page"/>
      </w:r>
    </w:p>
    <w:p w:rsidR="00237DD8" w:rsidRDefault="00237DD8" w:rsidP="00237DD8">
      <w:r>
        <w:lastRenderedPageBreak/>
        <w:t>10)  Williamson described ten elements of the Washington Consensus.  Five are on the list below.  Circle those that were elements of the Washington Consensus as described by Williamson.</w:t>
      </w:r>
    </w:p>
    <w:p w:rsidR="00237DD8" w:rsidRDefault="00237DD8" w:rsidP="00237DD8"/>
    <w:p w:rsidR="00237DD8" w:rsidRDefault="00237DD8" w:rsidP="00237DD8">
      <w:pPr>
        <w:pStyle w:val="ListParagraph"/>
        <w:numPr>
          <w:ilvl w:val="2"/>
          <w:numId w:val="13"/>
        </w:numPr>
        <w:ind w:right="720"/>
      </w:pPr>
      <w:r>
        <w:t>Donor policy should be aimed at allocating aid to those who show a commitment to ruling justly, promoting economic freedom, and investing in people.</w:t>
      </w:r>
    </w:p>
    <w:p w:rsidR="00237DD8" w:rsidRDefault="00237DD8" w:rsidP="00237DD8">
      <w:pPr>
        <w:pStyle w:val="ListParagraph"/>
        <w:ind w:left="2340" w:right="720"/>
      </w:pPr>
    </w:p>
    <w:p w:rsidR="00237DD8" w:rsidRDefault="00237DD8" w:rsidP="00237DD8">
      <w:pPr>
        <w:pStyle w:val="ListParagraph"/>
        <w:numPr>
          <w:ilvl w:val="2"/>
          <w:numId w:val="13"/>
        </w:numPr>
        <w:ind w:right="720"/>
      </w:pPr>
      <w:r>
        <w:t xml:space="preserve">Governments should undertake privatization of state owned assets. </w:t>
      </w:r>
    </w:p>
    <w:p w:rsidR="00237DD8" w:rsidRDefault="00237DD8" w:rsidP="00237DD8">
      <w:pPr>
        <w:pStyle w:val="ListParagraph"/>
        <w:ind w:left="2340" w:right="720"/>
      </w:pPr>
    </w:p>
    <w:p w:rsidR="00237DD8" w:rsidRDefault="00237DD8" w:rsidP="00237DD8">
      <w:pPr>
        <w:pStyle w:val="ListParagraph"/>
        <w:numPr>
          <w:ilvl w:val="2"/>
          <w:numId w:val="13"/>
        </w:numPr>
        <w:ind w:right="720"/>
      </w:pPr>
      <w:r>
        <w:t>Government plans should be designed to coordinate participation of bilateral, multilateral, NGO, government, and civil society institutions.</w:t>
      </w:r>
    </w:p>
    <w:p w:rsidR="00237DD8" w:rsidRDefault="00237DD8" w:rsidP="00237DD8">
      <w:pPr>
        <w:pStyle w:val="ListParagraph"/>
        <w:ind w:left="2340" w:right="720"/>
      </w:pPr>
    </w:p>
    <w:p w:rsidR="00237DD8" w:rsidRDefault="00237DD8" w:rsidP="00237DD8">
      <w:pPr>
        <w:pStyle w:val="ListParagraph"/>
        <w:numPr>
          <w:ilvl w:val="2"/>
          <w:numId w:val="13"/>
        </w:numPr>
        <w:ind w:right="720"/>
      </w:pPr>
      <w:r>
        <w:t>Development strategy should be country driven and participatory.</w:t>
      </w:r>
    </w:p>
    <w:p w:rsidR="00237DD8" w:rsidRDefault="00237DD8" w:rsidP="00237DD8">
      <w:pPr>
        <w:pStyle w:val="ListParagraph"/>
        <w:ind w:left="2340" w:right="720"/>
      </w:pPr>
    </w:p>
    <w:p w:rsidR="00237DD8" w:rsidRDefault="00237DD8" w:rsidP="00237DD8">
      <w:pPr>
        <w:pStyle w:val="ListParagraph"/>
        <w:numPr>
          <w:ilvl w:val="2"/>
          <w:numId w:val="13"/>
        </w:numPr>
        <w:ind w:right="720"/>
      </w:pPr>
      <w:r>
        <w:t>Governments should undertake tax reform that broadens the ta</w:t>
      </w:r>
      <w:r w:rsidR="00556B97">
        <w:t>x burden but lowers tax</w:t>
      </w:r>
      <w:r>
        <w:t xml:space="preserve"> rates.</w:t>
      </w:r>
    </w:p>
    <w:p w:rsidR="00237DD8" w:rsidRDefault="00237DD8" w:rsidP="00237DD8">
      <w:pPr>
        <w:pStyle w:val="ListParagraph"/>
        <w:ind w:left="2340" w:right="720"/>
      </w:pPr>
    </w:p>
    <w:p w:rsidR="00237DD8" w:rsidRDefault="00237DD8" w:rsidP="00237DD8">
      <w:pPr>
        <w:pStyle w:val="ListParagraph"/>
        <w:numPr>
          <w:ilvl w:val="2"/>
          <w:numId w:val="13"/>
        </w:numPr>
        <w:ind w:right="720"/>
      </w:pPr>
      <w:r>
        <w:t>Developing countries should undertake deregulation to abolish barriers to entry and exit.</w:t>
      </w:r>
    </w:p>
    <w:p w:rsidR="00237DD8" w:rsidRDefault="00237DD8" w:rsidP="00237DD8">
      <w:pPr>
        <w:pStyle w:val="ListParagraph"/>
        <w:ind w:left="2340" w:right="720"/>
      </w:pPr>
    </w:p>
    <w:p w:rsidR="00237DD8" w:rsidRDefault="00237DD8" w:rsidP="00237DD8">
      <w:pPr>
        <w:pStyle w:val="ListParagraph"/>
        <w:numPr>
          <w:ilvl w:val="2"/>
          <w:numId w:val="13"/>
        </w:numPr>
        <w:ind w:right="720"/>
      </w:pPr>
      <w:r>
        <w:t>Competitive exchange rate policies should be adopted.</w:t>
      </w:r>
    </w:p>
    <w:p w:rsidR="00237DD8" w:rsidRDefault="00237DD8" w:rsidP="00237DD8">
      <w:pPr>
        <w:pStyle w:val="ListParagraph"/>
        <w:ind w:left="2340" w:right="720"/>
      </w:pPr>
    </w:p>
    <w:p w:rsidR="00237DD8" w:rsidRDefault="00237DD8" w:rsidP="00237DD8">
      <w:pPr>
        <w:pStyle w:val="ListParagraph"/>
        <w:numPr>
          <w:ilvl w:val="2"/>
          <w:numId w:val="13"/>
        </w:numPr>
        <w:ind w:right="720"/>
      </w:pPr>
      <w:r>
        <w:t>Developing countries should implement plans that are comprehensive and results-oriented, and focuses on outcomes that will benefit the poor.</w:t>
      </w:r>
    </w:p>
    <w:p w:rsidR="00237DD8" w:rsidRDefault="00237DD8" w:rsidP="00237DD8">
      <w:pPr>
        <w:pStyle w:val="ListParagraph"/>
        <w:ind w:left="2340" w:right="720"/>
      </w:pPr>
    </w:p>
    <w:p w:rsidR="00237DD8" w:rsidRDefault="00237DD8" w:rsidP="00237DD8">
      <w:pPr>
        <w:pStyle w:val="ListParagraph"/>
        <w:numPr>
          <w:ilvl w:val="2"/>
          <w:numId w:val="13"/>
        </w:numPr>
        <w:ind w:right="720"/>
      </w:pPr>
      <w:r>
        <w:t>Integrated rural development will lead to the realization of the millennium development goals.</w:t>
      </w:r>
    </w:p>
    <w:p w:rsidR="00556B97" w:rsidRDefault="00556B97" w:rsidP="00556B97">
      <w:pPr>
        <w:pStyle w:val="ListParagraph"/>
      </w:pPr>
    </w:p>
    <w:p w:rsidR="00556B97" w:rsidRDefault="00556B97" w:rsidP="00237DD8">
      <w:pPr>
        <w:pStyle w:val="ListParagraph"/>
        <w:numPr>
          <w:ilvl w:val="2"/>
          <w:numId w:val="13"/>
        </w:numPr>
        <w:ind w:right="720"/>
      </w:pPr>
      <w:r>
        <w:t>Government policy should be based on fiscal discipline, controlling inflation, and balancing budgets.</w:t>
      </w:r>
    </w:p>
    <w:p w:rsidR="00237DD8" w:rsidRDefault="00237DD8" w:rsidP="00237DD8">
      <w:pPr>
        <w:ind w:right="720"/>
      </w:pPr>
    </w:p>
    <w:p w:rsidR="00237DD8" w:rsidRDefault="00237DD8" w:rsidP="00237DD8">
      <w:pPr>
        <w:ind w:right="720"/>
      </w:pPr>
    </w:p>
    <w:p w:rsidR="00237DD8" w:rsidRDefault="00237DD8" w:rsidP="00237DD8">
      <w:pPr>
        <w:ind w:right="720"/>
      </w:pPr>
    </w:p>
    <w:sectPr w:rsidR="00237DD8" w:rsidSect="004C4C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95E"/>
    <w:multiLevelType w:val="hybridMultilevel"/>
    <w:tmpl w:val="DCD685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8F5226"/>
    <w:multiLevelType w:val="hybridMultilevel"/>
    <w:tmpl w:val="AB3A76C0"/>
    <w:lvl w:ilvl="0" w:tplc="04090011">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A0D98"/>
    <w:multiLevelType w:val="multilevel"/>
    <w:tmpl w:val="473E90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710AE4"/>
    <w:multiLevelType w:val="hybridMultilevel"/>
    <w:tmpl w:val="473E903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D63DB6"/>
    <w:multiLevelType w:val="hybridMultilevel"/>
    <w:tmpl w:val="96AE26A6"/>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A6098"/>
    <w:multiLevelType w:val="hybridMultilevel"/>
    <w:tmpl w:val="A8EAA46A"/>
    <w:lvl w:ilvl="0" w:tplc="04090017">
      <w:start w:val="1"/>
      <w:numFmt w:val="lowerLetter"/>
      <w:lvlText w:val="%1)"/>
      <w:lvlJc w:val="left"/>
      <w:pPr>
        <w:tabs>
          <w:tab w:val="num" w:pos="720"/>
        </w:tabs>
        <w:ind w:left="720" w:hanging="360"/>
      </w:pPr>
      <w:rPr>
        <w:rFonts w:hint="default"/>
      </w:rPr>
    </w:lvl>
    <w:lvl w:ilvl="1" w:tplc="F18E9A36">
      <w:start w:val="5"/>
      <w:numFmt w:val="decimal"/>
      <w:lvlText w:val="%2)"/>
      <w:lvlJc w:val="left"/>
      <w:pPr>
        <w:tabs>
          <w:tab w:val="num" w:pos="1440"/>
        </w:tabs>
        <w:ind w:left="1440" w:hanging="360"/>
      </w:pPr>
      <w:rPr>
        <w:rFonts w:hint="default"/>
      </w:rPr>
    </w:lvl>
    <w:lvl w:ilvl="2" w:tplc="062282A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541759"/>
    <w:multiLevelType w:val="hybridMultilevel"/>
    <w:tmpl w:val="EE306054"/>
    <w:lvl w:ilvl="0" w:tplc="94CCB9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15927"/>
    <w:multiLevelType w:val="hybridMultilevel"/>
    <w:tmpl w:val="C994B2F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14A538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D3371E"/>
    <w:multiLevelType w:val="hybridMultilevel"/>
    <w:tmpl w:val="F1A29D80"/>
    <w:lvl w:ilvl="0" w:tplc="9F3A1D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601922"/>
    <w:multiLevelType w:val="hybridMultilevel"/>
    <w:tmpl w:val="3DA67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3A3CF8"/>
    <w:multiLevelType w:val="hybridMultilevel"/>
    <w:tmpl w:val="C7D0353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AC0303"/>
    <w:multiLevelType w:val="hybridMultilevel"/>
    <w:tmpl w:val="9DE4AF34"/>
    <w:lvl w:ilvl="0" w:tplc="04090017">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12480D"/>
    <w:multiLevelType w:val="hybridMultilevel"/>
    <w:tmpl w:val="43BE25D6"/>
    <w:lvl w:ilvl="0" w:tplc="0F84B43E">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2344FC8"/>
    <w:multiLevelType w:val="hybridMultilevel"/>
    <w:tmpl w:val="E55A4FE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0AA2362"/>
    <w:multiLevelType w:val="hybridMultilevel"/>
    <w:tmpl w:val="E2A45C1A"/>
    <w:lvl w:ilvl="0" w:tplc="B80071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753B9D"/>
    <w:multiLevelType w:val="hybridMultilevel"/>
    <w:tmpl w:val="94726916"/>
    <w:lvl w:ilvl="0" w:tplc="04090017">
      <w:start w:val="2"/>
      <w:numFmt w:val="lowerLetter"/>
      <w:lvlText w:val="%1)"/>
      <w:lvlJc w:val="left"/>
      <w:pPr>
        <w:tabs>
          <w:tab w:val="num" w:pos="720"/>
        </w:tabs>
        <w:ind w:left="720" w:hanging="360"/>
      </w:pPr>
      <w:rPr>
        <w:rFonts w:hint="default"/>
      </w:rPr>
    </w:lvl>
    <w:lvl w:ilvl="1" w:tplc="C9DCB31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EF77EC"/>
    <w:multiLevelType w:val="hybridMultilevel"/>
    <w:tmpl w:val="B824AB50"/>
    <w:lvl w:ilvl="0" w:tplc="F204301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5"/>
  </w:num>
  <w:num w:numId="3">
    <w:abstractNumId w:val="5"/>
  </w:num>
  <w:num w:numId="4">
    <w:abstractNumId w:val="2"/>
  </w:num>
  <w:num w:numId="5">
    <w:abstractNumId w:val="10"/>
  </w:num>
  <w:num w:numId="6">
    <w:abstractNumId w:val="1"/>
  </w:num>
  <w:num w:numId="7">
    <w:abstractNumId w:val="11"/>
  </w:num>
  <w:num w:numId="8">
    <w:abstractNumId w:val="4"/>
  </w:num>
  <w:num w:numId="9">
    <w:abstractNumId w:val="12"/>
  </w:num>
  <w:num w:numId="10">
    <w:abstractNumId w:val="16"/>
  </w:num>
  <w:num w:numId="11">
    <w:abstractNumId w:val="9"/>
  </w:num>
  <w:num w:numId="12">
    <w:abstractNumId w:val="8"/>
  </w:num>
  <w:num w:numId="13">
    <w:abstractNumId w:val="7"/>
  </w:num>
  <w:num w:numId="14">
    <w:abstractNumId w:val="14"/>
  </w:num>
  <w:num w:numId="15">
    <w:abstractNumId w:val="6"/>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2A0040"/>
    <w:rsid w:val="00045EAA"/>
    <w:rsid w:val="000E0A25"/>
    <w:rsid w:val="000E2BCF"/>
    <w:rsid w:val="00137774"/>
    <w:rsid w:val="0015160B"/>
    <w:rsid w:val="001905AA"/>
    <w:rsid w:val="001A3949"/>
    <w:rsid w:val="001B5F0C"/>
    <w:rsid w:val="001C620B"/>
    <w:rsid w:val="001C68D9"/>
    <w:rsid w:val="001E15A7"/>
    <w:rsid w:val="002362DA"/>
    <w:rsid w:val="00237DD8"/>
    <w:rsid w:val="002A0040"/>
    <w:rsid w:val="002A0E61"/>
    <w:rsid w:val="00307A51"/>
    <w:rsid w:val="00335209"/>
    <w:rsid w:val="00352F5B"/>
    <w:rsid w:val="003718A2"/>
    <w:rsid w:val="003A013D"/>
    <w:rsid w:val="003F1416"/>
    <w:rsid w:val="00426089"/>
    <w:rsid w:val="004806B7"/>
    <w:rsid w:val="00493D84"/>
    <w:rsid w:val="00493DAF"/>
    <w:rsid w:val="004C4C68"/>
    <w:rsid w:val="00551EDE"/>
    <w:rsid w:val="00556B97"/>
    <w:rsid w:val="00572B8E"/>
    <w:rsid w:val="00590720"/>
    <w:rsid w:val="00613803"/>
    <w:rsid w:val="006218E4"/>
    <w:rsid w:val="00624427"/>
    <w:rsid w:val="006550A3"/>
    <w:rsid w:val="0069637C"/>
    <w:rsid w:val="006A0B48"/>
    <w:rsid w:val="006D01BF"/>
    <w:rsid w:val="007A1225"/>
    <w:rsid w:val="00801F2B"/>
    <w:rsid w:val="00855C87"/>
    <w:rsid w:val="008730C4"/>
    <w:rsid w:val="008A5B91"/>
    <w:rsid w:val="008B18BE"/>
    <w:rsid w:val="00920A17"/>
    <w:rsid w:val="00930584"/>
    <w:rsid w:val="009B09E4"/>
    <w:rsid w:val="009E1B9F"/>
    <w:rsid w:val="00A94EFE"/>
    <w:rsid w:val="00A956CE"/>
    <w:rsid w:val="00AC1439"/>
    <w:rsid w:val="00AE227E"/>
    <w:rsid w:val="00B20A71"/>
    <w:rsid w:val="00B447DD"/>
    <w:rsid w:val="00BA55F4"/>
    <w:rsid w:val="00C46545"/>
    <w:rsid w:val="00C851C0"/>
    <w:rsid w:val="00C9279C"/>
    <w:rsid w:val="00CD71F7"/>
    <w:rsid w:val="00D40C96"/>
    <w:rsid w:val="00D5626F"/>
    <w:rsid w:val="00D72996"/>
    <w:rsid w:val="00D83315"/>
    <w:rsid w:val="00E55CA3"/>
    <w:rsid w:val="00ED65ED"/>
    <w:rsid w:val="00F255F2"/>
    <w:rsid w:val="00F47979"/>
    <w:rsid w:val="00FB4A39"/>
    <w:rsid w:val="00FC3939"/>
    <w:rsid w:val="00FD4476"/>
    <w:rsid w:val="00FE73A9"/>
    <w:rsid w:val="00FF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0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83315"/>
    <w:rPr>
      <w:rFonts w:ascii="Tahoma" w:hAnsi="Tahoma" w:cs="Tahoma"/>
      <w:sz w:val="16"/>
      <w:szCs w:val="16"/>
    </w:rPr>
  </w:style>
  <w:style w:type="paragraph" w:styleId="ListParagraph">
    <w:name w:val="List Paragraph"/>
    <w:basedOn w:val="Normal"/>
    <w:uiPriority w:val="34"/>
    <w:qFormat/>
    <w:rsid w:val="00E55CA3"/>
    <w:pPr>
      <w:ind w:left="720"/>
      <w:contextualSpacing/>
    </w:pPr>
  </w:style>
  <w:style w:type="character" w:styleId="PlaceholderText">
    <w:name w:val="Placeholder Text"/>
    <w:basedOn w:val="DefaultParagraphFont"/>
    <w:uiPriority w:val="99"/>
    <w:semiHidden/>
    <w:rsid w:val="008730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58161">
      <w:bodyDiv w:val="1"/>
      <w:marLeft w:val="0"/>
      <w:marRight w:val="0"/>
      <w:marTop w:val="0"/>
      <w:marBottom w:val="0"/>
      <w:divBdr>
        <w:top w:val="none" w:sz="0" w:space="0" w:color="auto"/>
        <w:left w:val="none" w:sz="0" w:space="0" w:color="auto"/>
        <w:bottom w:val="none" w:sz="0" w:space="0" w:color="auto"/>
        <w:right w:val="none" w:sz="0" w:space="0" w:color="auto"/>
      </w:divBdr>
    </w:div>
    <w:div w:id="571621574">
      <w:bodyDiv w:val="1"/>
      <w:marLeft w:val="0"/>
      <w:marRight w:val="0"/>
      <w:marTop w:val="0"/>
      <w:marBottom w:val="0"/>
      <w:divBdr>
        <w:top w:val="none" w:sz="0" w:space="0" w:color="auto"/>
        <w:left w:val="none" w:sz="0" w:space="0" w:color="auto"/>
        <w:bottom w:val="none" w:sz="0" w:space="0" w:color="auto"/>
        <w:right w:val="none" w:sz="0" w:space="0" w:color="auto"/>
      </w:divBdr>
    </w:div>
    <w:div w:id="772475027">
      <w:bodyDiv w:val="1"/>
      <w:marLeft w:val="0"/>
      <w:marRight w:val="0"/>
      <w:marTop w:val="0"/>
      <w:marBottom w:val="0"/>
      <w:divBdr>
        <w:top w:val="none" w:sz="0" w:space="0" w:color="auto"/>
        <w:left w:val="none" w:sz="0" w:space="0" w:color="auto"/>
        <w:bottom w:val="none" w:sz="0" w:space="0" w:color="auto"/>
        <w:right w:val="none" w:sz="0" w:space="0" w:color="auto"/>
      </w:divBdr>
    </w:div>
    <w:div w:id="900409761">
      <w:bodyDiv w:val="1"/>
      <w:marLeft w:val="0"/>
      <w:marRight w:val="0"/>
      <w:marTop w:val="0"/>
      <w:marBottom w:val="0"/>
      <w:divBdr>
        <w:top w:val="none" w:sz="0" w:space="0" w:color="auto"/>
        <w:left w:val="none" w:sz="0" w:space="0" w:color="auto"/>
        <w:bottom w:val="none" w:sz="0" w:space="0" w:color="auto"/>
        <w:right w:val="none" w:sz="0" w:space="0" w:color="auto"/>
      </w:divBdr>
    </w:div>
    <w:div w:id="12258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C:\ppa730-4\Spring%2005\solowgraph.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2701041133725E-2"/>
          <c:y val="2.2033675662465845E-2"/>
          <c:w val="0.91616556646742453"/>
          <c:h val="0.88846222437166444"/>
        </c:manualLayout>
      </c:layout>
      <c:lineChart>
        <c:grouping val="standard"/>
        <c:varyColors val="0"/>
        <c:ser>
          <c:idx val="0"/>
          <c:order val="0"/>
          <c:tx>
            <c:strRef>
              <c:f>Sheet1!$B$1</c:f>
              <c:strCache>
                <c:ptCount val="1"/>
                <c:pt idx="0">
                  <c:v>(δ+n)k</c:v>
                </c:pt>
              </c:strCache>
            </c:strRef>
          </c:tx>
          <c:spPr>
            <a:ln w="38100">
              <a:solidFill>
                <a:srgbClr val="000000"/>
              </a:solidFill>
            </a:ln>
          </c:spPr>
          <c:marker>
            <c:symbol val="none"/>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Sheet1!$B$2:$B$100</c:f>
              <c:numCache>
                <c:formatCode>General</c:formatCode>
                <c:ptCount val="99"/>
                <c:pt idx="0">
                  <c:v>5.0000000000000017E-2</c:v>
                </c:pt>
                <c:pt idx="1">
                  <c:v>0.1</c:v>
                </c:pt>
                <c:pt idx="2">
                  <c:v>0.15000000000000011</c:v>
                </c:pt>
                <c:pt idx="3">
                  <c:v>0.2</c:v>
                </c:pt>
                <c:pt idx="4">
                  <c:v>0.25</c:v>
                </c:pt>
                <c:pt idx="5">
                  <c:v>0.30000000000000021</c:v>
                </c:pt>
                <c:pt idx="6">
                  <c:v>0.3500000000000002</c:v>
                </c:pt>
                <c:pt idx="7">
                  <c:v>0.4</c:v>
                </c:pt>
                <c:pt idx="8">
                  <c:v>0.45</c:v>
                </c:pt>
                <c:pt idx="9">
                  <c:v>0.5</c:v>
                </c:pt>
                <c:pt idx="10">
                  <c:v>0.55000000000000004</c:v>
                </c:pt>
                <c:pt idx="11">
                  <c:v>0.60000000000000042</c:v>
                </c:pt>
                <c:pt idx="12">
                  <c:v>0.65000000000000036</c:v>
                </c:pt>
                <c:pt idx="13">
                  <c:v>0.7000000000000004</c:v>
                </c:pt>
                <c:pt idx="14">
                  <c:v>0.75000000000000033</c:v>
                </c:pt>
                <c:pt idx="15">
                  <c:v>0.8</c:v>
                </c:pt>
                <c:pt idx="16">
                  <c:v>0.85000000000000042</c:v>
                </c:pt>
                <c:pt idx="17">
                  <c:v>0.9</c:v>
                </c:pt>
                <c:pt idx="18">
                  <c:v>0.9500000000000004</c:v>
                </c:pt>
                <c:pt idx="19">
                  <c:v>1</c:v>
                </c:pt>
                <c:pt idx="20">
                  <c:v>1.05</c:v>
                </c:pt>
                <c:pt idx="21">
                  <c:v>1.1000000000000001</c:v>
                </c:pt>
                <c:pt idx="22">
                  <c:v>1.1500000000000001</c:v>
                </c:pt>
                <c:pt idx="23">
                  <c:v>1.2000000000000002</c:v>
                </c:pt>
                <c:pt idx="24">
                  <c:v>1.25</c:v>
                </c:pt>
                <c:pt idx="25">
                  <c:v>1.3</c:v>
                </c:pt>
                <c:pt idx="26">
                  <c:v>1.35</c:v>
                </c:pt>
                <c:pt idx="27">
                  <c:v>1.4</c:v>
                </c:pt>
                <c:pt idx="28">
                  <c:v>1.4500000000000002</c:v>
                </c:pt>
                <c:pt idx="29">
                  <c:v>1.5</c:v>
                </c:pt>
                <c:pt idx="30">
                  <c:v>1.55</c:v>
                </c:pt>
                <c:pt idx="31">
                  <c:v>1.6</c:v>
                </c:pt>
                <c:pt idx="32">
                  <c:v>1.6500000000000001</c:v>
                </c:pt>
                <c:pt idx="33">
                  <c:v>1.7000000000000004</c:v>
                </c:pt>
                <c:pt idx="34">
                  <c:v>1.7500000000000002</c:v>
                </c:pt>
                <c:pt idx="35">
                  <c:v>1.8</c:v>
                </c:pt>
                <c:pt idx="36">
                  <c:v>1.85</c:v>
                </c:pt>
                <c:pt idx="37">
                  <c:v>1.9000000000000001</c:v>
                </c:pt>
                <c:pt idx="38">
                  <c:v>1.9500000000000006</c:v>
                </c:pt>
                <c:pt idx="39">
                  <c:v>2</c:v>
                </c:pt>
                <c:pt idx="40">
                  <c:v>2.0500000000000003</c:v>
                </c:pt>
                <c:pt idx="41">
                  <c:v>2.1</c:v>
                </c:pt>
                <c:pt idx="42">
                  <c:v>2.15</c:v>
                </c:pt>
                <c:pt idx="43">
                  <c:v>2.2000000000000002</c:v>
                </c:pt>
                <c:pt idx="44">
                  <c:v>2.25</c:v>
                </c:pt>
                <c:pt idx="45">
                  <c:v>2.3000000000000003</c:v>
                </c:pt>
                <c:pt idx="46">
                  <c:v>2.3499999999999988</c:v>
                </c:pt>
                <c:pt idx="47">
                  <c:v>2.4000000000000004</c:v>
                </c:pt>
                <c:pt idx="48">
                  <c:v>2.4499999999999997</c:v>
                </c:pt>
                <c:pt idx="49">
                  <c:v>2.5</c:v>
                </c:pt>
                <c:pt idx="50">
                  <c:v>2.5500000000000003</c:v>
                </c:pt>
                <c:pt idx="51">
                  <c:v>2.6</c:v>
                </c:pt>
                <c:pt idx="52">
                  <c:v>2.6500000000000004</c:v>
                </c:pt>
                <c:pt idx="53">
                  <c:v>2.7</c:v>
                </c:pt>
                <c:pt idx="54">
                  <c:v>2.75</c:v>
                </c:pt>
                <c:pt idx="55">
                  <c:v>2.8000000000000003</c:v>
                </c:pt>
                <c:pt idx="56">
                  <c:v>2.8499999999999988</c:v>
                </c:pt>
                <c:pt idx="57">
                  <c:v>2.9000000000000004</c:v>
                </c:pt>
                <c:pt idx="58">
                  <c:v>2.9499999999999997</c:v>
                </c:pt>
                <c:pt idx="59">
                  <c:v>3</c:v>
                </c:pt>
                <c:pt idx="60">
                  <c:v>3.0500000000000003</c:v>
                </c:pt>
                <c:pt idx="61">
                  <c:v>3.1</c:v>
                </c:pt>
                <c:pt idx="62">
                  <c:v>3.1500000000000004</c:v>
                </c:pt>
                <c:pt idx="63">
                  <c:v>3.2</c:v>
                </c:pt>
                <c:pt idx="64">
                  <c:v>3.25</c:v>
                </c:pt>
                <c:pt idx="65">
                  <c:v>3.3000000000000003</c:v>
                </c:pt>
                <c:pt idx="66">
                  <c:v>3.3499999999999988</c:v>
                </c:pt>
                <c:pt idx="67">
                  <c:v>3.4000000000000004</c:v>
                </c:pt>
                <c:pt idx="68">
                  <c:v>3.4499999999999997</c:v>
                </c:pt>
                <c:pt idx="69">
                  <c:v>3.5</c:v>
                </c:pt>
                <c:pt idx="70">
                  <c:v>3.5500000000000003</c:v>
                </c:pt>
                <c:pt idx="71">
                  <c:v>3.6</c:v>
                </c:pt>
                <c:pt idx="72">
                  <c:v>3.6500000000000004</c:v>
                </c:pt>
                <c:pt idx="73">
                  <c:v>3.7</c:v>
                </c:pt>
                <c:pt idx="74">
                  <c:v>3.75</c:v>
                </c:pt>
                <c:pt idx="75">
                  <c:v>3.8000000000000003</c:v>
                </c:pt>
                <c:pt idx="76">
                  <c:v>3.8499999999999988</c:v>
                </c:pt>
                <c:pt idx="77">
                  <c:v>3.9000000000000004</c:v>
                </c:pt>
                <c:pt idx="78">
                  <c:v>3.9499999999999997</c:v>
                </c:pt>
                <c:pt idx="79">
                  <c:v>4</c:v>
                </c:pt>
                <c:pt idx="80">
                  <c:v>4.05</c:v>
                </c:pt>
                <c:pt idx="81">
                  <c:v>4.1000000000000005</c:v>
                </c:pt>
                <c:pt idx="82">
                  <c:v>4.1499999999999995</c:v>
                </c:pt>
                <c:pt idx="83">
                  <c:v>4.2</c:v>
                </c:pt>
                <c:pt idx="84">
                  <c:v>4.25</c:v>
                </c:pt>
                <c:pt idx="85">
                  <c:v>4.3</c:v>
                </c:pt>
                <c:pt idx="86">
                  <c:v>4.3500000000000005</c:v>
                </c:pt>
                <c:pt idx="87">
                  <c:v>4.4000000000000004</c:v>
                </c:pt>
                <c:pt idx="88">
                  <c:v>4.45</c:v>
                </c:pt>
                <c:pt idx="89">
                  <c:v>4.5</c:v>
                </c:pt>
                <c:pt idx="90">
                  <c:v>4.55</c:v>
                </c:pt>
                <c:pt idx="91">
                  <c:v>4.6000000000000005</c:v>
                </c:pt>
                <c:pt idx="92">
                  <c:v>4.6499999999999995</c:v>
                </c:pt>
                <c:pt idx="93">
                  <c:v>4.7</c:v>
                </c:pt>
                <c:pt idx="94">
                  <c:v>4.75</c:v>
                </c:pt>
                <c:pt idx="95">
                  <c:v>4.8000000000000007</c:v>
                </c:pt>
                <c:pt idx="96">
                  <c:v>4.8500000000000005</c:v>
                </c:pt>
                <c:pt idx="97">
                  <c:v>4.9000000000000004</c:v>
                </c:pt>
                <c:pt idx="98">
                  <c:v>4.95</c:v>
                </c:pt>
              </c:numCache>
            </c:numRef>
          </c:val>
          <c:smooth val="0"/>
        </c:ser>
        <c:ser>
          <c:idx val="1"/>
          <c:order val="1"/>
          <c:tx>
            <c:strRef>
              <c:f>Sheet1!$C$1</c:f>
              <c:strCache>
                <c:ptCount val="1"/>
                <c:pt idx="0">
                  <c:v>αk^β</c:v>
                </c:pt>
              </c:strCache>
            </c:strRef>
          </c:tx>
          <c:spPr>
            <a:ln>
              <a:solidFill>
                <a:schemeClr val="tx1"/>
              </a:solidFill>
            </a:ln>
          </c:spPr>
          <c:marker>
            <c:symbol val="x"/>
            <c:size val="4"/>
            <c:spPr>
              <a:noFill/>
            </c:spPr>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Sheet1!$C$2:$C$100</c:f>
              <c:numCache>
                <c:formatCode>General</c:formatCode>
                <c:ptCount val="99"/>
                <c:pt idx="0">
                  <c:v>1</c:v>
                </c:pt>
                <c:pt idx="1">
                  <c:v>1.4142135623730951</c:v>
                </c:pt>
                <c:pt idx="2">
                  <c:v>1.7320508075688781</c:v>
                </c:pt>
                <c:pt idx="3">
                  <c:v>2</c:v>
                </c:pt>
                <c:pt idx="4">
                  <c:v>2.2360679774997885</c:v>
                </c:pt>
                <c:pt idx="5">
                  <c:v>2.4494897427831792</c:v>
                </c:pt>
                <c:pt idx="6">
                  <c:v>2.6457513110645912</c:v>
                </c:pt>
                <c:pt idx="7">
                  <c:v>2.8284271247461903</c:v>
                </c:pt>
                <c:pt idx="8">
                  <c:v>3</c:v>
                </c:pt>
                <c:pt idx="9">
                  <c:v>3.1622776601683795</c:v>
                </c:pt>
                <c:pt idx="10">
                  <c:v>3.3166247903553998</c:v>
                </c:pt>
                <c:pt idx="11">
                  <c:v>3.4641016151377557</c:v>
                </c:pt>
                <c:pt idx="12">
                  <c:v>3.6055512754639891</c:v>
                </c:pt>
                <c:pt idx="13">
                  <c:v>3.7416573867739413</c:v>
                </c:pt>
                <c:pt idx="14">
                  <c:v>3.8729833462074184</c:v>
                </c:pt>
                <c:pt idx="15">
                  <c:v>4</c:v>
                </c:pt>
                <c:pt idx="16">
                  <c:v>4.1231056256176606</c:v>
                </c:pt>
                <c:pt idx="17">
                  <c:v>4.2426406871192874</c:v>
                </c:pt>
                <c:pt idx="18">
                  <c:v>4.3588989435406766</c:v>
                </c:pt>
                <c:pt idx="19">
                  <c:v>4.4721359549995796</c:v>
                </c:pt>
                <c:pt idx="20">
                  <c:v>4.5825756949558398</c:v>
                </c:pt>
                <c:pt idx="21">
                  <c:v>4.6904157598234271</c:v>
                </c:pt>
                <c:pt idx="22">
                  <c:v>4.7958315233127164</c:v>
                </c:pt>
                <c:pt idx="23">
                  <c:v>4.8989794855663584</c:v>
                </c:pt>
                <c:pt idx="24">
                  <c:v>5</c:v>
                </c:pt>
                <c:pt idx="25">
                  <c:v>5.0990195135927854</c:v>
                </c:pt>
                <c:pt idx="26">
                  <c:v>5.196152422706632</c:v>
                </c:pt>
                <c:pt idx="27">
                  <c:v>5.2915026221291814</c:v>
                </c:pt>
                <c:pt idx="28">
                  <c:v>5.3851648071345011</c:v>
                </c:pt>
                <c:pt idx="29">
                  <c:v>5.4772255750516639</c:v>
                </c:pt>
                <c:pt idx="30">
                  <c:v>5.5677643628300215</c:v>
                </c:pt>
                <c:pt idx="31">
                  <c:v>5.6568542494923779</c:v>
                </c:pt>
                <c:pt idx="32">
                  <c:v>5.7445626465380286</c:v>
                </c:pt>
                <c:pt idx="33">
                  <c:v>5.8309518948453007</c:v>
                </c:pt>
                <c:pt idx="34">
                  <c:v>5.9160797830996215</c:v>
                </c:pt>
                <c:pt idx="35">
                  <c:v>6</c:v>
                </c:pt>
                <c:pt idx="36">
                  <c:v>6.0827625302982185</c:v>
                </c:pt>
                <c:pt idx="37">
                  <c:v>6.1644140029689707</c:v>
                </c:pt>
                <c:pt idx="38">
                  <c:v>6.2449979983983965</c:v>
                </c:pt>
                <c:pt idx="39">
                  <c:v>6.3245553203367511</c:v>
                </c:pt>
                <c:pt idx="40">
                  <c:v>6.4031242374328485</c:v>
                </c:pt>
                <c:pt idx="41">
                  <c:v>6.480740698407863</c:v>
                </c:pt>
                <c:pt idx="42">
                  <c:v>6.5574385243019977</c:v>
                </c:pt>
                <c:pt idx="43">
                  <c:v>6.6332495807108032</c:v>
                </c:pt>
                <c:pt idx="44">
                  <c:v>6.7082039324993721</c:v>
                </c:pt>
                <c:pt idx="45">
                  <c:v>6.7823299831252708</c:v>
                </c:pt>
                <c:pt idx="46">
                  <c:v>6.8556546004010412</c:v>
                </c:pt>
                <c:pt idx="47">
                  <c:v>6.9282032302755088</c:v>
                </c:pt>
                <c:pt idx="48">
                  <c:v>7</c:v>
                </c:pt>
                <c:pt idx="49">
                  <c:v>7.0710678118654764</c:v>
                </c:pt>
                <c:pt idx="50">
                  <c:v>7.1414284285428504</c:v>
                </c:pt>
                <c:pt idx="51">
                  <c:v>7.2111025509279765</c:v>
                </c:pt>
                <c:pt idx="52">
                  <c:v>7.2801098892805181</c:v>
                </c:pt>
                <c:pt idx="53">
                  <c:v>7.3484692283495354</c:v>
                </c:pt>
                <c:pt idx="54">
                  <c:v>7.4161984870956665</c:v>
                </c:pt>
                <c:pt idx="55">
                  <c:v>7.4833147735478827</c:v>
                </c:pt>
                <c:pt idx="56">
                  <c:v>7.5498344352707498</c:v>
                </c:pt>
                <c:pt idx="57">
                  <c:v>7.6157731058639104</c:v>
                </c:pt>
                <c:pt idx="58">
                  <c:v>7.6811457478686078</c:v>
                </c:pt>
                <c:pt idx="59">
                  <c:v>7.7459666924148394</c:v>
                </c:pt>
                <c:pt idx="60">
                  <c:v>7.8102496759066566</c:v>
                </c:pt>
                <c:pt idx="61">
                  <c:v>7.8740078740118085</c:v>
                </c:pt>
                <c:pt idx="62">
                  <c:v>7.9372539331937748</c:v>
                </c:pt>
                <c:pt idx="63">
                  <c:v>8</c:v>
                </c:pt>
                <c:pt idx="64">
                  <c:v>8.0622577482985491</c:v>
                </c:pt>
                <c:pt idx="65">
                  <c:v>8.1240384046359555</c:v>
                </c:pt>
                <c:pt idx="66">
                  <c:v>8.1853527718724486</c:v>
                </c:pt>
                <c:pt idx="67">
                  <c:v>8.2462112512353158</c:v>
                </c:pt>
                <c:pt idx="68">
                  <c:v>8.3066238629180749</c:v>
                </c:pt>
                <c:pt idx="69">
                  <c:v>8.366600265340761</c:v>
                </c:pt>
                <c:pt idx="70">
                  <c:v>8.426149773176359</c:v>
                </c:pt>
                <c:pt idx="71">
                  <c:v>8.4852813742385695</c:v>
                </c:pt>
                <c:pt idx="72">
                  <c:v>8.5440037453175179</c:v>
                </c:pt>
                <c:pt idx="73">
                  <c:v>8.6023252670426249</c:v>
                </c:pt>
                <c:pt idx="74">
                  <c:v>8.6602540378443944</c:v>
                </c:pt>
                <c:pt idx="75">
                  <c:v>8.7177978870813497</c:v>
                </c:pt>
                <c:pt idx="76">
                  <c:v>8.7749643873921155</c:v>
                </c:pt>
                <c:pt idx="77">
                  <c:v>8.8317608663278477</c:v>
                </c:pt>
                <c:pt idx="78">
                  <c:v>8.8881944173155887</c:v>
                </c:pt>
                <c:pt idx="79">
                  <c:v>8.9442719099991486</c:v>
                </c:pt>
                <c:pt idx="80">
                  <c:v>9</c:v>
                </c:pt>
                <c:pt idx="81">
                  <c:v>9.0553851381374226</c:v>
                </c:pt>
                <c:pt idx="82">
                  <c:v>9.1104335791443063</c:v>
                </c:pt>
                <c:pt idx="83">
                  <c:v>9.1651513899116779</c:v>
                </c:pt>
                <c:pt idx="84">
                  <c:v>9.2195444572928871</c:v>
                </c:pt>
                <c:pt idx="85">
                  <c:v>9.2736184954957039</c:v>
                </c:pt>
                <c:pt idx="86">
                  <c:v>9.3273790530888157</c:v>
                </c:pt>
                <c:pt idx="87">
                  <c:v>9.3808315196468666</c:v>
                </c:pt>
                <c:pt idx="88">
                  <c:v>9.4339811320566032</c:v>
                </c:pt>
                <c:pt idx="89">
                  <c:v>9.4868329805051435</c:v>
                </c:pt>
                <c:pt idx="90">
                  <c:v>9.5393920141694561</c:v>
                </c:pt>
                <c:pt idx="91">
                  <c:v>9.5916630466254382</c:v>
                </c:pt>
                <c:pt idx="92">
                  <c:v>9.6436507609929496</c:v>
                </c:pt>
                <c:pt idx="93">
                  <c:v>9.6953597148326587</c:v>
                </c:pt>
                <c:pt idx="94">
                  <c:v>9.7467943448089667</c:v>
                </c:pt>
                <c:pt idx="95">
                  <c:v>9.7979589711327026</c:v>
                </c:pt>
                <c:pt idx="96">
                  <c:v>9.8488578017961039</c:v>
                </c:pt>
                <c:pt idx="97">
                  <c:v>9.899494936611676</c:v>
                </c:pt>
                <c:pt idx="98">
                  <c:v>9.9498743710661994</c:v>
                </c:pt>
              </c:numCache>
            </c:numRef>
          </c:val>
          <c:smooth val="0"/>
        </c:ser>
        <c:ser>
          <c:idx val="2"/>
          <c:order val="2"/>
          <c:tx>
            <c:strRef>
              <c:f>Sheet1!$D$1</c:f>
              <c:strCache>
                <c:ptCount val="1"/>
                <c:pt idx="0">
                  <c:v>sαk^β</c:v>
                </c:pt>
              </c:strCache>
            </c:strRef>
          </c:tx>
          <c:spPr>
            <a:ln>
              <a:solidFill>
                <a:schemeClr val="tx1"/>
              </a:solidFill>
              <a:prstDash val="dash"/>
            </a:ln>
          </c:spPr>
          <c:marker>
            <c:symbol val="x"/>
            <c:size val="4"/>
            <c:spPr>
              <a:noFill/>
            </c:spPr>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Sheet1!$D$2:$D$100</c:f>
              <c:numCache>
                <c:formatCode>General</c:formatCode>
                <c:ptCount val="99"/>
                <c:pt idx="0">
                  <c:v>0.2</c:v>
                </c:pt>
                <c:pt idx="1">
                  <c:v>0.28284271247461923</c:v>
                </c:pt>
                <c:pt idx="2">
                  <c:v>0.34641016151377574</c:v>
                </c:pt>
                <c:pt idx="3">
                  <c:v>0.4</c:v>
                </c:pt>
                <c:pt idx="4">
                  <c:v>0.44721359549995809</c:v>
                </c:pt>
                <c:pt idx="5">
                  <c:v>0.4898979485566356</c:v>
                </c:pt>
                <c:pt idx="6">
                  <c:v>0.52915026221291817</c:v>
                </c:pt>
                <c:pt idx="7">
                  <c:v>0.56568542494923812</c:v>
                </c:pt>
                <c:pt idx="8">
                  <c:v>0.60000000000000042</c:v>
                </c:pt>
                <c:pt idx="9">
                  <c:v>0.63245553203367666</c:v>
                </c:pt>
                <c:pt idx="10">
                  <c:v>0.66332495807108061</c:v>
                </c:pt>
                <c:pt idx="11">
                  <c:v>0.69282032302755103</c:v>
                </c:pt>
                <c:pt idx="12">
                  <c:v>0.72111025509279791</c:v>
                </c:pt>
                <c:pt idx="13">
                  <c:v>0.748331477354789</c:v>
                </c:pt>
                <c:pt idx="14">
                  <c:v>0.77459666924148363</c:v>
                </c:pt>
                <c:pt idx="15">
                  <c:v>0.8</c:v>
                </c:pt>
                <c:pt idx="16">
                  <c:v>0.82462112512353258</c:v>
                </c:pt>
                <c:pt idx="17">
                  <c:v>0.84852813742385735</c:v>
                </c:pt>
                <c:pt idx="18">
                  <c:v>0.87177978870813522</c:v>
                </c:pt>
                <c:pt idx="19">
                  <c:v>0.89442719099991574</c:v>
                </c:pt>
                <c:pt idx="20">
                  <c:v>0.91651513899116765</c:v>
                </c:pt>
                <c:pt idx="21">
                  <c:v>0.93808315196468561</c:v>
                </c:pt>
                <c:pt idx="22">
                  <c:v>0.95916630466254349</c:v>
                </c:pt>
                <c:pt idx="23">
                  <c:v>0.97979589711327197</c:v>
                </c:pt>
                <c:pt idx="24">
                  <c:v>1</c:v>
                </c:pt>
                <c:pt idx="25">
                  <c:v>1.019803902718557</c:v>
                </c:pt>
                <c:pt idx="26">
                  <c:v>1.0392304845413265</c:v>
                </c:pt>
                <c:pt idx="27">
                  <c:v>1.0583005244258374</c:v>
                </c:pt>
                <c:pt idx="28">
                  <c:v>1.0770329614269019</c:v>
                </c:pt>
                <c:pt idx="29">
                  <c:v>1.0954451150103324</c:v>
                </c:pt>
                <c:pt idx="30">
                  <c:v>1.1135528725660051</c:v>
                </c:pt>
                <c:pt idx="31">
                  <c:v>1.1313708498984762</c:v>
                </c:pt>
                <c:pt idx="32">
                  <c:v>1.1489125293076066</c:v>
                </c:pt>
                <c:pt idx="33">
                  <c:v>1.1661903789690602</c:v>
                </c:pt>
                <c:pt idx="34">
                  <c:v>1.1832159566199238</c:v>
                </c:pt>
                <c:pt idx="35">
                  <c:v>1.2000000000000002</c:v>
                </c:pt>
                <c:pt idx="36">
                  <c:v>1.216552506059644</c:v>
                </c:pt>
                <c:pt idx="37">
                  <c:v>1.232882800593796</c:v>
                </c:pt>
                <c:pt idx="38">
                  <c:v>1.248999599679679</c:v>
                </c:pt>
                <c:pt idx="39">
                  <c:v>1.264911064067352</c:v>
                </c:pt>
                <c:pt idx="40">
                  <c:v>1.2806248474865698</c:v>
                </c:pt>
                <c:pt idx="41">
                  <c:v>1.2961481396815735</c:v>
                </c:pt>
                <c:pt idx="42">
                  <c:v>1.3114877048604001</c:v>
                </c:pt>
                <c:pt idx="43">
                  <c:v>1.3266499161421599</c:v>
                </c:pt>
                <c:pt idx="44">
                  <c:v>1.3416407864998738</c:v>
                </c:pt>
                <c:pt idx="45">
                  <c:v>1.3564659966250541</c:v>
                </c:pt>
                <c:pt idx="46">
                  <c:v>1.3711309200802095</c:v>
                </c:pt>
                <c:pt idx="47">
                  <c:v>1.3856406460551018</c:v>
                </c:pt>
                <c:pt idx="48">
                  <c:v>1.4</c:v>
                </c:pt>
                <c:pt idx="49">
                  <c:v>1.4142135623730951</c:v>
                </c:pt>
                <c:pt idx="50">
                  <c:v>1.4282856857085702</c:v>
                </c:pt>
                <c:pt idx="51">
                  <c:v>1.4422205101855958</c:v>
                </c:pt>
                <c:pt idx="52">
                  <c:v>1.4560219778561037</c:v>
                </c:pt>
                <c:pt idx="53">
                  <c:v>1.4696938456699056</c:v>
                </c:pt>
                <c:pt idx="54">
                  <c:v>1.4832396974191306</c:v>
                </c:pt>
                <c:pt idx="55">
                  <c:v>1.4966629547095767</c:v>
                </c:pt>
                <c:pt idx="56">
                  <c:v>1.5099668870541483</c:v>
                </c:pt>
                <c:pt idx="57">
                  <c:v>1.523154621172782</c:v>
                </c:pt>
                <c:pt idx="58">
                  <c:v>1.5362291495737221</c:v>
                </c:pt>
                <c:pt idx="59">
                  <c:v>1.5491933384829661</c:v>
                </c:pt>
                <c:pt idx="60">
                  <c:v>1.5620499351813315</c:v>
                </c:pt>
                <c:pt idx="61">
                  <c:v>1.5748015748023623</c:v>
                </c:pt>
                <c:pt idx="62">
                  <c:v>1.5874507866387553</c:v>
                </c:pt>
                <c:pt idx="63">
                  <c:v>1.6</c:v>
                </c:pt>
                <c:pt idx="64">
                  <c:v>1.6124515496597107</c:v>
                </c:pt>
                <c:pt idx="65">
                  <c:v>1.6248076809271919</c:v>
                </c:pt>
                <c:pt idx="66">
                  <c:v>1.6370705543744899</c:v>
                </c:pt>
                <c:pt idx="67">
                  <c:v>1.6492422502470638</c:v>
                </c:pt>
                <c:pt idx="68">
                  <c:v>1.6613247725836144</c:v>
                </c:pt>
                <c:pt idx="69">
                  <c:v>1.6733200530681505</c:v>
                </c:pt>
                <c:pt idx="70">
                  <c:v>1.685229954635272</c:v>
                </c:pt>
                <c:pt idx="71">
                  <c:v>1.6970562748477147</c:v>
                </c:pt>
                <c:pt idx="72">
                  <c:v>1.7088007490635064</c:v>
                </c:pt>
                <c:pt idx="73">
                  <c:v>1.7204650534085257</c:v>
                </c:pt>
                <c:pt idx="74">
                  <c:v>1.7320508075688783</c:v>
                </c:pt>
                <c:pt idx="75">
                  <c:v>1.7435595774162702</c:v>
                </c:pt>
                <c:pt idx="76">
                  <c:v>1.7549928774784243</c:v>
                </c:pt>
                <c:pt idx="77">
                  <c:v>1.7663521732655707</c:v>
                </c:pt>
                <c:pt idx="78">
                  <c:v>1.7776388834631178</c:v>
                </c:pt>
                <c:pt idx="79">
                  <c:v>1.7888543819998322</c:v>
                </c:pt>
                <c:pt idx="80">
                  <c:v>1.8</c:v>
                </c:pt>
                <c:pt idx="81">
                  <c:v>1.8110770276274835</c:v>
                </c:pt>
                <c:pt idx="82">
                  <c:v>1.8220867158288601</c:v>
                </c:pt>
                <c:pt idx="83">
                  <c:v>1.8330302779823358</c:v>
                </c:pt>
                <c:pt idx="84">
                  <c:v>1.8439088914585775</c:v>
                </c:pt>
                <c:pt idx="85">
                  <c:v>1.8547236990991396</c:v>
                </c:pt>
                <c:pt idx="86">
                  <c:v>1.8654758106177631</c:v>
                </c:pt>
                <c:pt idx="87">
                  <c:v>1.8761663039293719</c:v>
                </c:pt>
                <c:pt idx="88">
                  <c:v>1.8867962264113207</c:v>
                </c:pt>
                <c:pt idx="89">
                  <c:v>1.897366596101028</c:v>
                </c:pt>
                <c:pt idx="90">
                  <c:v>1.9078784028338911</c:v>
                </c:pt>
                <c:pt idx="91">
                  <c:v>1.9183326093250881</c:v>
                </c:pt>
                <c:pt idx="92">
                  <c:v>1.9287301521985909</c:v>
                </c:pt>
                <c:pt idx="93">
                  <c:v>1.9390719429665322</c:v>
                </c:pt>
                <c:pt idx="94">
                  <c:v>1.9493588689617938</c:v>
                </c:pt>
                <c:pt idx="95">
                  <c:v>1.9595917942265422</c:v>
                </c:pt>
                <c:pt idx="96">
                  <c:v>1.9697715603592214</c:v>
                </c:pt>
                <c:pt idx="97">
                  <c:v>1.9798989873223327</c:v>
                </c:pt>
                <c:pt idx="98">
                  <c:v>1.9899748742132404</c:v>
                </c:pt>
              </c:numCache>
            </c:numRef>
          </c:val>
          <c:smooth val="0"/>
        </c:ser>
        <c:ser>
          <c:idx val="3"/>
          <c:order val="3"/>
          <c:tx>
            <c:strRef>
              <c:f>Sheet1!$E$1</c:f>
              <c:strCache>
                <c:ptCount val="1"/>
                <c:pt idx="0">
                  <c:v>s'αk^β</c:v>
                </c:pt>
              </c:strCache>
            </c:strRef>
          </c:tx>
          <c:spPr>
            <a:ln>
              <a:solidFill>
                <a:schemeClr val="tx1"/>
              </a:solidFill>
              <a:prstDash val="lgDash"/>
            </a:ln>
          </c:spPr>
          <c:marker>
            <c:symbol val="none"/>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Sheet1!$E$2:$E$100</c:f>
              <c:numCache>
                <c:formatCode>General</c:formatCode>
                <c:ptCount val="99"/>
                <c:pt idx="0">
                  <c:v>0.4</c:v>
                </c:pt>
                <c:pt idx="1">
                  <c:v>0.56568542494923812</c:v>
                </c:pt>
                <c:pt idx="2">
                  <c:v>0.69282032302755103</c:v>
                </c:pt>
                <c:pt idx="3">
                  <c:v>0.8</c:v>
                </c:pt>
                <c:pt idx="4">
                  <c:v>0.89442719099991574</c:v>
                </c:pt>
                <c:pt idx="5">
                  <c:v>0.97979589711327197</c:v>
                </c:pt>
                <c:pt idx="6">
                  <c:v>1.0583005244258374</c:v>
                </c:pt>
                <c:pt idx="7">
                  <c:v>1.1313708498984762</c:v>
                </c:pt>
                <c:pt idx="8">
                  <c:v>1.2000000000000002</c:v>
                </c:pt>
                <c:pt idx="9">
                  <c:v>1.264911064067352</c:v>
                </c:pt>
                <c:pt idx="10">
                  <c:v>1.3266499161421599</c:v>
                </c:pt>
                <c:pt idx="11">
                  <c:v>1.3856406460551018</c:v>
                </c:pt>
                <c:pt idx="12">
                  <c:v>1.4422205101855958</c:v>
                </c:pt>
                <c:pt idx="13">
                  <c:v>1.4966629547095767</c:v>
                </c:pt>
                <c:pt idx="14">
                  <c:v>1.5491933384829661</c:v>
                </c:pt>
                <c:pt idx="15">
                  <c:v>1.6</c:v>
                </c:pt>
                <c:pt idx="16">
                  <c:v>1.6492422502470638</c:v>
                </c:pt>
                <c:pt idx="17">
                  <c:v>1.6970562748477147</c:v>
                </c:pt>
                <c:pt idx="18">
                  <c:v>1.7435595774162702</c:v>
                </c:pt>
                <c:pt idx="19">
                  <c:v>1.7888543819998322</c:v>
                </c:pt>
                <c:pt idx="20">
                  <c:v>1.8330302779823358</c:v>
                </c:pt>
                <c:pt idx="21">
                  <c:v>1.8761663039293719</c:v>
                </c:pt>
                <c:pt idx="22">
                  <c:v>1.9183326093250881</c:v>
                </c:pt>
                <c:pt idx="23">
                  <c:v>1.9595917942265422</c:v>
                </c:pt>
                <c:pt idx="24">
                  <c:v>2</c:v>
                </c:pt>
                <c:pt idx="25">
                  <c:v>2.0396078054371141</c:v>
                </c:pt>
                <c:pt idx="26">
                  <c:v>2.078460969082653</c:v>
                </c:pt>
                <c:pt idx="27">
                  <c:v>2.1166010488516744</c:v>
                </c:pt>
                <c:pt idx="28">
                  <c:v>2.1540659228537993</c:v>
                </c:pt>
                <c:pt idx="29">
                  <c:v>2.1908902300206647</c:v>
                </c:pt>
                <c:pt idx="30">
                  <c:v>2.227105745132012</c:v>
                </c:pt>
                <c:pt idx="31">
                  <c:v>2.2627416997969538</c:v>
                </c:pt>
                <c:pt idx="32">
                  <c:v>2.2978250586152127</c:v>
                </c:pt>
                <c:pt idx="33">
                  <c:v>2.3323807579381204</c:v>
                </c:pt>
                <c:pt idx="34">
                  <c:v>2.3664319132398441</c:v>
                </c:pt>
                <c:pt idx="35">
                  <c:v>2.4000000000000004</c:v>
                </c:pt>
                <c:pt idx="36">
                  <c:v>2.4331050121192868</c:v>
                </c:pt>
                <c:pt idx="37">
                  <c:v>2.4657656011875906</c:v>
                </c:pt>
                <c:pt idx="38">
                  <c:v>2.4979991993593593</c:v>
                </c:pt>
                <c:pt idx="39">
                  <c:v>2.5298221281347026</c:v>
                </c:pt>
                <c:pt idx="40">
                  <c:v>2.5612496949731378</c:v>
                </c:pt>
                <c:pt idx="41">
                  <c:v>2.592296279363143</c:v>
                </c:pt>
                <c:pt idx="42">
                  <c:v>2.6229754097207985</c:v>
                </c:pt>
                <c:pt idx="43">
                  <c:v>2.6532998322843202</c:v>
                </c:pt>
                <c:pt idx="44">
                  <c:v>2.6832815729997495</c:v>
                </c:pt>
                <c:pt idx="45">
                  <c:v>2.7129319932501073</c:v>
                </c:pt>
                <c:pt idx="46">
                  <c:v>2.7422618401604195</c:v>
                </c:pt>
                <c:pt idx="47">
                  <c:v>2.7712812921102041</c:v>
                </c:pt>
                <c:pt idx="48">
                  <c:v>2.8000000000000003</c:v>
                </c:pt>
                <c:pt idx="49">
                  <c:v>2.8284271247461903</c:v>
                </c:pt>
                <c:pt idx="50">
                  <c:v>2.8565713714171403</c:v>
                </c:pt>
                <c:pt idx="51">
                  <c:v>2.8844410203711917</c:v>
                </c:pt>
                <c:pt idx="52">
                  <c:v>2.912043955712206</c:v>
                </c:pt>
                <c:pt idx="53">
                  <c:v>2.9393876913398138</c:v>
                </c:pt>
                <c:pt idx="54">
                  <c:v>2.9664793948382626</c:v>
                </c:pt>
                <c:pt idx="55">
                  <c:v>2.9933259094191533</c:v>
                </c:pt>
                <c:pt idx="56">
                  <c:v>3.0199337741083001</c:v>
                </c:pt>
                <c:pt idx="57">
                  <c:v>3.0463092423455649</c:v>
                </c:pt>
                <c:pt idx="58">
                  <c:v>3.0724582991474421</c:v>
                </c:pt>
                <c:pt idx="59">
                  <c:v>3.0983866769659349</c:v>
                </c:pt>
                <c:pt idx="60">
                  <c:v>3.124099870362663</c:v>
                </c:pt>
                <c:pt idx="61">
                  <c:v>3.1496031496047237</c:v>
                </c:pt>
                <c:pt idx="62">
                  <c:v>3.1749015732775092</c:v>
                </c:pt>
                <c:pt idx="63">
                  <c:v>3.2</c:v>
                </c:pt>
                <c:pt idx="64">
                  <c:v>3.2249030993194201</c:v>
                </c:pt>
                <c:pt idx="65">
                  <c:v>3.2496153618543846</c:v>
                </c:pt>
                <c:pt idx="66">
                  <c:v>3.2741411087489802</c:v>
                </c:pt>
                <c:pt idx="67">
                  <c:v>3.2984845004941286</c:v>
                </c:pt>
                <c:pt idx="68">
                  <c:v>3.3226495451672289</c:v>
                </c:pt>
                <c:pt idx="69">
                  <c:v>3.3466401061363023</c:v>
                </c:pt>
                <c:pt idx="70">
                  <c:v>3.3704599092705418</c:v>
                </c:pt>
                <c:pt idx="71">
                  <c:v>3.3941125496954281</c:v>
                </c:pt>
                <c:pt idx="72">
                  <c:v>3.4176014981270137</c:v>
                </c:pt>
                <c:pt idx="73">
                  <c:v>3.4409301068170524</c:v>
                </c:pt>
                <c:pt idx="74">
                  <c:v>3.4641016151377566</c:v>
                </c:pt>
                <c:pt idx="75">
                  <c:v>3.4871191548325409</c:v>
                </c:pt>
                <c:pt idx="76">
                  <c:v>3.5099857549568494</c:v>
                </c:pt>
                <c:pt idx="77">
                  <c:v>3.5327043465311392</c:v>
                </c:pt>
                <c:pt idx="78">
                  <c:v>3.5552777669262356</c:v>
                </c:pt>
                <c:pt idx="79">
                  <c:v>3.5777087639996639</c:v>
                </c:pt>
                <c:pt idx="80">
                  <c:v>3.6</c:v>
                </c:pt>
                <c:pt idx="81">
                  <c:v>3.6221540552549683</c:v>
                </c:pt>
                <c:pt idx="82">
                  <c:v>3.6441734316577201</c:v>
                </c:pt>
                <c:pt idx="83">
                  <c:v>3.6660605559646733</c:v>
                </c:pt>
                <c:pt idx="84">
                  <c:v>3.6878177829171581</c:v>
                </c:pt>
                <c:pt idx="85">
                  <c:v>3.7094473981982805</c:v>
                </c:pt>
                <c:pt idx="86">
                  <c:v>3.7309516212355271</c:v>
                </c:pt>
                <c:pt idx="87">
                  <c:v>3.7523326078587438</c:v>
                </c:pt>
                <c:pt idx="88">
                  <c:v>3.7735924528226432</c:v>
                </c:pt>
                <c:pt idx="89">
                  <c:v>3.7947331922020577</c:v>
                </c:pt>
                <c:pt idx="90">
                  <c:v>3.8157568056677813</c:v>
                </c:pt>
                <c:pt idx="91">
                  <c:v>3.836665218650174</c:v>
                </c:pt>
                <c:pt idx="92">
                  <c:v>3.8574603043971809</c:v>
                </c:pt>
                <c:pt idx="93">
                  <c:v>3.8781438859330621</c:v>
                </c:pt>
                <c:pt idx="94">
                  <c:v>3.8987177379235853</c:v>
                </c:pt>
                <c:pt idx="95">
                  <c:v>3.9191835884530848</c:v>
                </c:pt>
                <c:pt idx="96">
                  <c:v>3.9395431207184393</c:v>
                </c:pt>
                <c:pt idx="97">
                  <c:v>3.9597979746446663</c:v>
                </c:pt>
                <c:pt idx="98">
                  <c:v>3.9799497484264812</c:v>
                </c:pt>
              </c:numCache>
            </c:numRef>
          </c:val>
          <c:smooth val="0"/>
        </c:ser>
        <c:ser>
          <c:idx val="4"/>
          <c:order val="4"/>
          <c:tx>
            <c:strRef>
              <c:f>Sheet1!$F$1</c:f>
              <c:strCache>
                <c:ptCount val="1"/>
                <c:pt idx="0">
                  <c:v>α'k^β</c:v>
                </c:pt>
              </c:strCache>
            </c:strRef>
          </c:tx>
          <c:spPr>
            <a:ln>
              <a:solidFill>
                <a:schemeClr val="tx1">
                  <a:lumMod val="50000"/>
                  <a:lumOff val="50000"/>
                </a:schemeClr>
              </a:solidFill>
              <a:prstDash val="sysDot"/>
            </a:ln>
          </c:spPr>
          <c:marker>
            <c:symbol val="none"/>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Sheet1!$F$2:$F$100</c:f>
              <c:numCache>
                <c:formatCode>General</c:formatCode>
                <c:ptCount val="99"/>
                <c:pt idx="0">
                  <c:v>1.5</c:v>
                </c:pt>
                <c:pt idx="1">
                  <c:v>2.1213203435596442</c:v>
                </c:pt>
                <c:pt idx="2">
                  <c:v>2.5980762113533173</c:v>
                </c:pt>
                <c:pt idx="3">
                  <c:v>3</c:v>
                </c:pt>
                <c:pt idx="4">
                  <c:v>3.3541019662496847</c:v>
                </c:pt>
                <c:pt idx="5">
                  <c:v>3.6742346141747668</c:v>
                </c:pt>
                <c:pt idx="6">
                  <c:v>3.9686269665968861</c:v>
                </c:pt>
                <c:pt idx="7">
                  <c:v>4.2426406871192874</c:v>
                </c:pt>
                <c:pt idx="8">
                  <c:v>4.5</c:v>
                </c:pt>
                <c:pt idx="9">
                  <c:v>4.7434164902525717</c:v>
                </c:pt>
                <c:pt idx="10">
                  <c:v>4.9749371855331033</c:v>
                </c:pt>
                <c:pt idx="11">
                  <c:v>5.196152422706632</c:v>
                </c:pt>
                <c:pt idx="12">
                  <c:v>5.4083269131959835</c:v>
                </c:pt>
                <c:pt idx="13">
                  <c:v>5.6124860801609078</c:v>
                </c:pt>
                <c:pt idx="14">
                  <c:v>5.8094750193111286</c:v>
                </c:pt>
                <c:pt idx="15">
                  <c:v>6</c:v>
                </c:pt>
                <c:pt idx="16">
                  <c:v>6.1846584384264869</c:v>
                </c:pt>
                <c:pt idx="17">
                  <c:v>6.3639610306789276</c:v>
                </c:pt>
                <c:pt idx="18">
                  <c:v>6.5383484153110141</c:v>
                </c:pt>
                <c:pt idx="19">
                  <c:v>6.7082039324993721</c:v>
                </c:pt>
                <c:pt idx="20">
                  <c:v>6.8738635424337629</c:v>
                </c:pt>
                <c:pt idx="21">
                  <c:v>7.0356236397351468</c:v>
                </c:pt>
                <c:pt idx="22">
                  <c:v>7.1937472849690804</c:v>
                </c:pt>
                <c:pt idx="23">
                  <c:v>7.3484692283495336</c:v>
                </c:pt>
                <c:pt idx="24">
                  <c:v>7.5</c:v>
                </c:pt>
                <c:pt idx="25">
                  <c:v>7.6485292703891767</c:v>
                </c:pt>
                <c:pt idx="26">
                  <c:v>7.794228634059948</c:v>
                </c:pt>
                <c:pt idx="27">
                  <c:v>7.9372539331937748</c:v>
                </c:pt>
                <c:pt idx="28">
                  <c:v>8.0777472107017605</c:v>
                </c:pt>
                <c:pt idx="29">
                  <c:v>8.2158383625774913</c:v>
                </c:pt>
                <c:pt idx="30">
                  <c:v>8.3516465442450443</c:v>
                </c:pt>
                <c:pt idx="31">
                  <c:v>8.4852813742385713</c:v>
                </c:pt>
                <c:pt idx="32">
                  <c:v>8.6168439698070447</c:v>
                </c:pt>
                <c:pt idx="33">
                  <c:v>8.746427842267952</c:v>
                </c:pt>
                <c:pt idx="34">
                  <c:v>8.8741196746494246</c:v>
                </c:pt>
                <c:pt idx="35">
                  <c:v>9</c:v>
                </c:pt>
                <c:pt idx="36">
                  <c:v>9.1241437954473259</c:v>
                </c:pt>
                <c:pt idx="37">
                  <c:v>9.2466210044534556</c:v>
                </c:pt>
                <c:pt idx="38">
                  <c:v>9.3674969975976108</c:v>
                </c:pt>
                <c:pt idx="39">
                  <c:v>9.4868329805051435</c:v>
                </c:pt>
                <c:pt idx="40">
                  <c:v>9.6046863561492781</c:v>
                </c:pt>
                <c:pt idx="41">
                  <c:v>9.7211110476117799</c:v>
                </c:pt>
                <c:pt idx="42">
                  <c:v>9.8361577864529988</c:v>
                </c:pt>
                <c:pt idx="43">
                  <c:v>9.9498743710661994</c:v>
                </c:pt>
                <c:pt idx="44">
                  <c:v>10.062305898749061</c:v>
                </c:pt>
                <c:pt idx="45">
                  <c:v>10.173494974687912</c:v>
                </c:pt>
                <c:pt idx="46">
                  <c:v>10.283481900601565</c:v>
                </c:pt>
                <c:pt idx="47">
                  <c:v>10.392304845413271</c:v>
                </c:pt>
                <c:pt idx="48">
                  <c:v>10.5</c:v>
                </c:pt>
                <c:pt idx="49">
                  <c:v>10.606601717798219</c:v>
                </c:pt>
                <c:pt idx="50">
                  <c:v>10.712142642814275</c:v>
                </c:pt>
                <c:pt idx="51">
                  <c:v>10.81665382639197</c:v>
                </c:pt>
                <c:pt idx="52">
                  <c:v>10.920164833920779</c:v>
                </c:pt>
                <c:pt idx="53">
                  <c:v>11.022703842524304</c:v>
                </c:pt>
                <c:pt idx="54">
                  <c:v>11.124297730643493</c:v>
                </c:pt>
                <c:pt idx="55">
                  <c:v>11.224972160321812</c:v>
                </c:pt>
                <c:pt idx="56">
                  <c:v>11.324751652906125</c:v>
                </c:pt>
                <c:pt idx="57">
                  <c:v>11.423659658795868</c:v>
                </c:pt>
                <c:pt idx="58">
                  <c:v>11.521718621802911</c:v>
                </c:pt>
                <c:pt idx="59">
                  <c:v>11.618950038622252</c:v>
                </c:pt>
                <c:pt idx="60">
                  <c:v>11.715374513859986</c:v>
                </c:pt>
                <c:pt idx="61">
                  <c:v>11.811011811017719</c:v>
                </c:pt>
                <c:pt idx="62">
                  <c:v>11.905880899790668</c:v>
                </c:pt>
                <c:pt idx="63">
                  <c:v>12</c:v>
                </c:pt>
                <c:pt idx="64">
                  <c:v>12.093386622447824</c:v>
                </c:pt>
                <c:pt idx="65">
                  <c:v>12.186057606953947</c:v>
                </c:pt>
                <c:pt idx="66">
                  <c:v>12.278029157808675</c:v>
                </c:pt>
                <c:pt idx="67">
                  <c:v>12.369316876852988</c:v>
                </c:pt>
                <c:pt idx="68">
                  <c:v>12.459935794377119</c:v>
                </c:pt>
                <c:pt idx="69">
                  <c:v>12.549900398011133</c:v>
                </c:pt>
                <c:pt idx="70">
                  <c:v>12.639224659764539</c:v>
                </c:pt>
                <c:pt idx="71">
                  <c:v>12.727922061357846</c:v>
                </c:pt>
                <c:pt idx="72">
                  <c:v>12.816005617976304</c:v>
                </c:pt>
                <c:pt idx="73">
                  <c:v>12.903487900563951</c:v>
                </c:pt>
                <c:pt idx="74">
                  <c:v>12.99038105676658</c:v>
                </c:pt>
                <c:pt idx="75">
                  <c:v>13.076696830622032</c:v>
                </c:pt>
                <c:pt idx="76">
                  <c:v>13.162446581088194</c:v>
                </c:pt>
                <c:pt idx="77">
                  <c:v>13.247641299491768</c:v>
                </c:pt>
                <c:pt idx="78">
                  <c:v>13.332291625973383</c:v>
                </c:pt>
                <c:pt idx="79">
                  <c:v>13.416407864998746</c:v>
                </c:pt>
                <c:pt idx="80">
                  <c:v>13.5</c:v>
                </c:pt>
                <c:pt idx="81">
                  <c:v>13.583077707206121</c:v>
                </c:pt>
                <c:pt idx="82">
                  <c:v>13.665650368716452</c:v>
                </c:pt>
                <c:pt idx="83">
                  <c:v>13.747727084867513</c:v>
                </c:pt>
                <c:pt idx="84">
                  <c:v>13.829316685939332</c:v>
                </c:pt>
                <c:pt idx="85">
                  <c:v>13.910427743243551</c:v>
                </c:pt>
                <c:pt idx="86">
                  <c:v>13.991068579633223</c:v>
                </c:pt>
                <c:pt idx="87">
                  <c:v>14.071247279470294</c:v>
                </c:pt>
                <c:pt idx="88">
                  <c:v>14.150971698084906</c:v>
                </c:pt>
                <c:pt idx="89">
                  <c:v>14.230249470757702</c:v>
                </c:pt>
                <c:pt idx="90">
                  <c:v>14.309088021254183</c:v>
                </c:pt>
                <c:pt idx="91">
                  <c:v>14.387494569938164</c:v>
                </c:pt>
                <c:pt idx="92">
                  <c:v>14.465476141489438</c:v>
                </c:pt>
                <c:pt idx="93">
                  <c:v>14.543039572248999</c:v>
                </c:pt>
                <c:pt idx="94">
                  <c:v>14.620191517213446</c:v>
                </c:pt>
                <c:pt idx="95">
                  <c:v>14.696938456699067</c:v>
                </c:pt>
                <c:pt idx="96">
                  <c:v>14.773286702694151</c:v>
                </c:pt>
                <c:pt idx="97">
                  <c:v>14.849242404917497</c:v>
                </c:pt>
                <c:pt idx="98">
                  <c:v>14.9248115565993</c:v>
                </c:pt>
              </c:numCache>
            </c:numRef>
          </c:val>
          <c:smooth val="0"/>
        </c:ser>
        <c:ser>
          <c:idx val="5"/>
          <c:order val="5"/>
          <c:tx>
            <c:strRef>
              <c:f>Sheet1!$G$1</c:f>
              <c:strCache>
                <c:ptCount val="1"/>
                <c:pt idx="0">
                  <c:v>sα'k^β</c:v>
                </c:pt>
              </c:strCache>
            </c:strRef>
          </c:tx>
          <c:spPr>
            <a:ln>
              <a:solidFill>
                <a:schemeClr val="tx1"/>
              </a:solidFill>
              <a:prstDash val="sysDash"/>
            </a:ln>
          </c:spPr>
          <c:marker>
            <c:symbol val="none"/>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Sheet1!$G$2:$G$100</c:f>
              <c:numCache>
                <c:formatCode>General</c:formatCode>
                <c:ptCount val="99"/>
                <c:pt idx="0">
                  <c:v>0.30000000000000021</c:v>
                </c:pt>
                <c:pt idx="1">
                  <c:v>0.42426406871192857</c:v>
                </c:pt>
                <c:pt idx="2">
                  <c:v>0.51961524227066325</c:v>
                </c:pt>
                <c:pt idx="3">
                  <c:v>0.60000000000000042</c:v>
                </c:pt>
                <c:pt idx="4">
                  <c:v>0.67082039324993736</c:v>
                </c:pt>
                <c:pt idx="5">
                  <c:v>0.73484692283495345</c:v>
                </c:pt>
                <c:pt idx="6">
                  <c:v>0.79372539331937786</c:v>
                </c:pt>
                <c:pt idx="7">
                  <c:v>0.84852813742385746</c:v>
                </c:pt>
                <c:pt idx="8">
                  <c:v>0.9</c:v>
                </c:pt>
                <c:pt idx="9">
                  <c:v>0.94868329805051421</c:v>
                </c:pt>
                <c:pt idx="10">
                  <c:v>0.99498743710661997</c:v>
                </c:pt>
                <c:pt idx="11">
                  <c:v>1.0392304845413265</c:v>
                </c:pt>
                <c:pt idx="12">
                  <c:v>1.0816653826391955</c:v>
                </c:pt>
                <c:pt idx="13">
                  <c:v>1.1224972160321818</c:v>
                </c:pt>
                <c:pt idx="14">
                  <c:v>1.1618950038622253</c:v>
                </c:pt>
                <c:pt idx="15">
                  <c:v>1.2000000000000002</c:v>
                </c:pt>
                <c:pt idx="16">
                  <c:v>1.2369316876852974</c:v>
                </c:pt>
                <c:pt idx="17">
                  <c:v>1.2727922061357857</c:v>
                </c:pt>
                <c:pt idx="18">
                  <c:v>1.3076696830622014</c:v>
                </c:pt>
                <c:pt idx="19">
                  <c:v>1.3416407864998738</c:v>
                </c:pt>
                <c:pt idx="20">
                  <c:v>1.3747727084867527</c:v>
                </c:pt>
                <c:pt idx="21">
                  <c:v>1.4071247279470276</c:v>
                </c:pt>
                <c:pt idx="22">
                  <c:v>1.4387494569938157</c:v>
                </c:pt>
                <c:pt idx="23">
                  <c:v>1.4696938456699056</c:v>
                </c:pt>
                <c:pt idx="24">
                  <c:v>1.5</c:v>
                </c:pt>
                <c:pt idx="25">
                  <c:v>1.5297058540778354</c:v>
                </c:pt>
                <c:pt idx="26">
                  <c:v>1.5588457268119904</c:v>
                </c:pt>
                <c:pt idx="27">
                  <c:v>1.5874507866387553</c:v>
                </c:pt>
                <c:pt idx="28">
                  <c:v>1.6155494421403505</c:v>
                </c:pt>
                <c:pt idx="29">
                  <c:v>1.6431676725154978</c:v>
                </c:pt>
                <c:pt idx="30">
                  <c:v>1.6703293088490059</c:v>
                </c:pt>
                <c:pt idx="31">
                  <c:v>1.6970562748477149</c:v>
                </c:pt>
                <c:pt idx="32">
                  <c:v>1.7233687939614082</c:v>
                </c:pt>
                <c:pt idx="33">
                  <c:v>1.7492855684535913</c:v>
                </c:pt>
                <c:pt idx="34">
                  <c:v>1.7748239349298853</c:v>
                </c:pt>
                <c:pt idx="35">
                  <c:v>1.8</c:v>
                </c:pt>
                <c:pt idx="36">
                  <c:v>1.8248287590894652</c:v>
                </c:pt>
                <c:pt idx="37">
                  <c:v>1.8493242008906916</c:v>
                </c:pt>
                <c:pt idx="38">
                  <c:v>1.873499399519519</c:v>
                </c:pt>
                <c:pt idx="39">
                  <c:v>1.897366596101028</c:v>
                </c:pt>
                <c:pt idx="40">
                  <c:v>1.9209372712298545</c:v>
                </c:pt>
                <c:pt idx="41">
                  <c:v>1.944222209522358</c:v>
                </c:pt>
                <c:pt idx="42">
                  <c:v>1.9672315572905996</c:v>
                </c:pt>
                <c:pt idx="43">
                  <c:v>1.9899748742132404</c:v>
                </c:pt>
                <c:pt idx="44">
                  <c:v>2.0124611797498084</c:v>
                </c:pt>
                <c:pt idx="45">
                  <c:v>2.0346989949375791</c:v>
                </c:pt>
                <c:pt idx="46">
                  <c:v>2.0566963801203131</c:v>
                </c:pt>
                <c:pt idx="47">
                  <c:v>2.078460969082653</c:v>
                </c:pt>
                <c:pt idx="48">
                  <c:v>2.1</c:v>
                </c:pt>
                <c:pt idx="49">
                  <c:v>2.1213203435596442</c:v>
                </c:pt>
                <c:pt idx="50">
                  <c:v>2.142428528562855</c:v>
                </c:pt>
                <c:pt idx="51">
                  <c:v>2.1633307652783964</c:v>
                </c:pt>
                <c:pt idx="52">
                  <c:v>2.1840329667841556</c:v>
                </c:pt>
                <c:pt idx="53">
                  <c:v>2.2045407685048612</c:v>
                </c:pt>
                <c:pt idx="54">
                  <c:v>2.2248595461286991</c:v>
                </c:pt>
                <c:pt idx="55">
                  <c:v>2.2449944320643662</c:v>
                </c:pt>
                <c:pt idx="56">
                  <c:v>2.2649503305812249</c:v>
                </c:pt>
                <c:pt idx="57">
                  <c:v>2.284731931759175</c:v>
                </c:pt>
                <c:pt idx="58">
                  <c:v>2.3043437243605824</c:v>
                </c:pt>
                <c:pt idx="59">
                  <c:v>2.3237900077244529</c:v>
                </c:pt>
                <c:pt idx="60">
                  <c:v>2.3430749027719986</c:v>
                </c:pt>
                <c:pt idx="61">
                  <c:v>2.3622023622035422</c:v>
                </c:pt>
                <c:pt idx="62">
                  <c:v>2.3811761799581301</c:v>
                </c:pt>
                <c:pt idx="63">
                  <c:v>2.4000000000000004</c:v>
                </c:pt>
                <c:pt idx="64">
                  <c:v>2.4186773244895634</c:v>
                </c:pt>
                <c:pt idx="65">
                  <c:v>2.4372115213907883</c:v>
                </c:pt>
                <c:pt idx="66">
                  <c:v>2.455605831561734</c:v>
                </c:pt>
                <c:pt idx="67">
                  <c:v>2.4738633753705965</c:v>
                </c:pt>
                <c:pt idx="68">
                  <c:v>2.4919871588754243</c:v>
                </c:pt>
                <c:pt idx="69">
                  <c:v>2.5099800796022271</c:v>
                </c:pt>
                <c:pt idx="70">
                  <c:v>2.5278449319529082</c:v>
                </c:pt>
                <c:pt idx="71">
                  <c:v>2.5455844122715732</c:v>
                </c:pt>
                <c:pt idx="72">
                  <c:v>2.5632011235952588</c:v>
                </c:pt>
                <c:pt idx="73">
                  <c:v>2.5806975801127892</c:v>
                </c:pt>
                <c:pt idx="74">
                  <c:v>2.5980762113533173</c:v>
                </c:pt>
                <c:pt idx="75">
                  <c:v>2.6153393661244051</c:v>
                </c:pt>
                <c:pt idx="76">
                  <c:v>2.6324893162176366</c:v>
                </c:pt>
                <c:pt idx="77">
                  <c:v>2.6495282598983558</c:v>
                </c:pt>
                <c:pt idx="78">
                  <c:v>2.6664583251946756</c:v>
                </c:pt>
                <c:pt idx="79">
                  <c:v>2.6832815729997495</c:v>
                </c:pt>
                <c:pt idx="80">
                  <c:v>2.7</c:v>
                </c:pt>
                <c:pt idx="81">
                  <c:v>2.7166155414412247</c:v>
                </c:pt>
                <c:pt idx="82">
                  <c:v>2.7331300737432898</c:v>
                </c:pt>
                <c:pt idx="83">
                  <c:v>2.7495454169735027</c:v>
                </c:pt>
                <c:pt idx="84">
                  <c:v>2.7658633371878665</c:v>
                </c:pt>
                <c:pt idx="85">
                  <c:v>2.7820855486487126</c:v>
                </c:pt>
                <c:pt idx="86">
                  <c:v>2.7982137159266451</c:v>
                </c:pt>
                <c:pt idx="87">
                  <c:v>2.8142494558940565</c:v>
                </c:pt>
                <c:pt idx="88">
                  <c:v>2.8301943396169813</c:v>
                </c:pt>
                <c:pt idx="89">
                  <c:v>2.8460498941515393</c:v>
                </c:pt>
                <c:pt idx="90">
                  <c:v>2.8618176042508368</c:v>
                </c:pt>
                <c:pt idx="91">
                  <c:v>2.8774989139876301</c:v>
                </c:pt>
                <c:pt idx="92">
                  <c:v>2.8930952282978866</c:v>
                </c:pt>
                <c:pt idx="93">
                  <c:v>2.9086079144497967</c:v>
                </c:pt>
                <c:pt idx="94">
                  <c:v>2.9240383034426887</c:v>
                </c:pt>
                <c:pt idx="95">
                  <c:v>2.9393876913398138</c:v>
                </c:pt>
                <c:pt idx="96">
                  <c:v>2.9546573405388301</c:v>
                </c:pt>
                <c:pt idx="97">
                  <c:v>2.9698484809834973</c:v>
                </c:pt>
                <c:pt idx="98">
                  <c:v>2.9849623113198587</c:v>
                </c:pt>
              </c:numCache>
            </c:numRef>
          </c:val>
          <c:smooth val="0"/>
        </c:ser>
        <c:dLbls>
          <c:showLegendKey val="0"/>
          <c:showVal val="0"/>
          <c:showCatName val="0"/>
          <c:showSerName val="0"/>
          <c:showPercent val="0"/>
          <c:showBubbleSize val="0"/>
        </c:dLbls>
        <c:marker val="1"/>
        <c:smooth val="0"/>
        <c:axId val="30546176"/>
        <c:axId val="30556160"/>
      </c:lineChart>
      <c:catAx>
        <c:axId val="30546176"/>
        <c:scaling>
          <c:orientation val="minMax"/>
        </c:scaling>
        <c:delete val="0"/>
        <c:axPos val="b"/>
        <c:numFmt formatCode="General" sourceLinked="1"/>
        <c:majorTickMark val="out"/>
        <c:minorTickMark val="none"/>
        <c:tickLblPos val="nextTo"/>
        <c:crossAx val="30556160"/>
        <c:crosses val="autoZero"/>
        <c:auto val="1"/>
        <c:lblAlgn val="ctr"/>
        <c:lblOffset val="100"/>
        <c:tickLblSkip val="5"/>
        <c:noMultiLvlLbl val="0"/>
      </c:catAx>
      <c:valAx>
        <c:axId val="30556160"/>
        <c:scaling>
          <c:orientation val="minMax"/>
        </c:scaling>
        <c:delete val="0"/>
        <c:axPos val="l"/>
        <c:majorGridlines/>
        <c:numFmt formatCode="General" sourceLinked="1"/>
        <c:majorTickMark val="out"/>
        <c:minorTickMark val="none"/>
        <c:tickLblPos val="nextTo"/>
        <c:crossAx val="30546176"/>
        <c:crosses val="autoZero"/>
        <c:crossBetween val="between"/>
      </c:valAx>
    </c:plotArea>
    <c:legend>
      <c:legendPos val="r"/>
      <c:layout>
        <c:manualLayout>
          <c:xMode val="edge"/>
          <c:yMode val="edge"/>
          <c:x val="7.2097200211304904E-2"/>
          <c:y val="1.5157790463828388E-2"/>
          <c:w val="0.88986793449550994"/>
          <c:h val="0.1322628358354783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Name:___________________</vt:lpstr>
    </vt:vector>
  </TitlesOfParts>
  <Company>The Maxwell School</Company>
  <LinksUpToDate>false</LinksUpToDate>
  <CharactersWithSpaces>8530</CharactersWithSpaces>
  <SharedDoc>false</SharedDoc>
  <HLinks>
    <vt:vector size="6" baseType="variant">
      <vt:variant>
        <vt:i4>3342432</vt:i4>
      </vt:variant>
      <vt:variant>
        <vt:i4>8906</vt:i4>
      </vt:variant>
      <vt:variant>
        <vt:i4>1027</vt:i4>
      </vt:variant>
      <vt:variant>
        <vt:i4>1</vt:i4>
      </vt:variant>
      <vt:variant>
        <vt:lpwstr>http://web.mit.edu/krugman/www/bigpush.gif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dc:title>
  <dc:creator>jomcpeak</dc:creator>
  <cp:lastModifiedBy>jomcpeak</cp:lastModifiedBy>
  <cp:revision>5</cp:revision>
  <cp:lastPrinted>2008-02-25T17:03:00Z</cp:lastPrinted>
  <dcterms:created xsi:type="dcterms:W3CDTF">2009-02-20T20:14:00Z</dcterms:created>
  <dcterms:modified xsi:type="dcterms:W3CDTF">2012-02-24T15:02:00Z</dcterms:modified>
</cp:coreProperties>
</file>