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30" w:rsidRPr="00870830" w:rsidRDefault="00870830" w:rsidP="00870830">
      <w:pPr>
        <w:spacing w:after="0" w:line="240" w:lineRule="auto"/>
        <w:rPr>
          <w:rFonts w:ascii="Times New Roman" w:hAnsi="Times New Roman" w:cs="Times New Roman"/>
          <w:sz w:val="24"/>
          <w:szCs w:val="24"/>
        </w:rPr>
      </w:pPr>
      <w:bookmarkStart w:id="0" w:name="_GoBack"/>
      <w:bookmarkEnd w:id="0"/>
      <w:r w:rsidRPr="00870830">
        <w:rPr>
          <w:rFonts w:ascii="Times New Roman" w:hAnsi="Times New Roman" w:cs="Times New Roman"/>
          <w:sz w:val="24"/>
          <w:szCs w:val="24"/>
        </w:rPr>
        <w:t>Name</w:t>
      </w:r>
      <w:proofErr w:type="gramStart"/>
      <w:r w:rsidRPr="00870830">
        <w:rPr>
          <w:rFonts w:ascii="Times New Roman" w:hAnsi="Times New Roman" w:cs="Times New Roman"/>
          <w:sz w:val="24"/>
          <w:szCs w:val="24"/>
        </w:rPr>
        <w:t>:_</w:t>
      </w:r>
      <w:proofErr w:type="gramEnd"/>
      <w:r w:rsidRPr="00870830">
        <w:rPr>
          <w:rFonts w:ascii="Times New Roman" w:hAnsi="Times New Roman" w:cs="Times New Roman"/>
          <w:sz w:val="24"/>
          <w:szCs w:val="24"/>
        </w:rPr>
        <w:t>__________________</w:t>
      </w:r>
      <w:r w:rsidRPr="00870830">
        <w:rPr>
          <w:rFonts w:ascii="Times New Roman" w:hAnsi="Times New Roman" w:cs="Times New Roman"/>
          <w:sz w:val="24"/>
          <w:szCs w:val="24"/>
        </w:rPr>
        <w:tab/>
      </w:r>
      <w:r w:rsidRPr="00870830">
        <w:rPr>
          <w:rFonts w:ascii="Times New Roman" w:hAnsi="Times New Roman" w:cs="Times New Roman"/>
          <w:sz w:val="24"/>
          <w:szCs w:val="24"/>
        </w:rPr>
        <w:tab/>
      </w:r>
      <w:r w:rsidRPr="00870830">
        <w:rPr>
          <w:rFonts w:ascii="Times New Roman" w:hAnsi="Times New Roman" w:cs="Times New Roman"/>
          <w:sz w:val="24"/>
          <w:szCs w:val="24"/>
        </w:rPr>
        <w:tab/>
        <w:t>Economics of Development</w:t>
      </w:r>
    </w:p>
    <w:p w:rsidR="00870830" w:rsidRPr="00870830" w:rsidRDefault="00870830" w:rsidP="00870830">
      <w:pPr>
        <w:spacing w:after="0" w:line="240" w:lineRule="auto"/>
        <w:rPr>
          <w:rFonts w:ascii="Times New Roman" w:hAnsi="Times New Roman" w:cs="Times New Roman"/>
          <w:sz w:val="24"/>
          <w:szCs w:val="24"/>
        </w:rPr>
      </w:pPr>
      <w:r w:rsidRPr="00870830">
        <w:rPr>
          <w:rFonts w:ascii="Times New Roman" w:hAnsi="Times New Roman" w:cs="Times New Roman"/>
          <w:sz w:val="24"/>
          <w:szCs w:val="24"/>
        </w:rPr>
        <w:t>Spring 2013</w:t>
      </w:r>
      <w:r w:rsidRPr="00870830">
        <w:rPr>
          <w:rFonts w:ascii="Times New Roman" w:hAnsi="Times New Roman" w:cs="Times New Roman"/>
          <w:sz w:val="24"/>
          <w:szCs w:val="24"/>
        </w:rPr>
        <w:tab/>
      </w:r>
      <w:r w:rsidRPr="00870830">
        <w:rPr>
          <w:rFonts w:ascii="Times New Roman" w:hAnsi="Times New Roman" w:cs="Times New Roman"/>
          <w:sz w:val="24"/>
          <w:szCs w:val="24"/>
        </w:rPr>
        <w:tab/>
      </w:r>
      <w:r w:rsidRPr="00870830">
        <w:rPr>
          <w:rFonts w:ascii="Times New Roman" w:hAnsi="Times New Roman" w:cs="Times New Roman"/>
          <w:sz w:val="24"/>
          <w:szCs w:val="24"/>
        </w:rPr>
        <w:tab/>
      </w:r>
      <w:r w:rsidRPr="00870830">
        <w:rPr>
          <w:rFonts w:ascii="Times New Roman" w:hAnsi="Times New Roman" w:cs="Times New Roman"/>
          <w:sz w:val="24"/>
          <w:szCs w:val="24"/>
        </w:rPr>
        <w:tab/>
      </w:r>
      <w:r w:rsidRPr="00870830">
        <w:rPr>
          <w:rFonts w:ascii="Times New Roman" w:hAnsi="Times New Roman" w:cs="Times New Roman"/>
          <w:sz w:val="24"/>
          <w:szCs w:val="24"/>
        </w:rPr>
        <w:tab/>
      </w:r>
      <w:r w:rsidRPr="00870830">
        <w:rPr>
          <w:rFonts w:ascii="Times New Roman" w:hAnsi="Times New Roman" w:cs="Times New Roman"/>
          <w:sz w:val="24"/>
          <w:szCs w:val="24"/>
        </w:rPr>
        <w:tab/>
        <w:t xml:space="preserve"> Exam 1</w:t>
      </w:r>
    </w:p>
    <w:p w:rsidR="00870830" w:rsidRPr="00870830" w:rsidRDefault="00870830" w:rsidP="00870830">
      <w:pPr>
        <w:rPr>
          <w:rFonts w:ascii="Times New Roman" w:hAnsi="Times New Roman" w:cs="Times New Roman"/>
          <w:sz w:val="24"/>
          <w:szCs w:val="24"/>
        </w:rPr>
      </w:pPr>
      <w:r w:rsidRPr="00870830">
        <w:rPr>
          <w:rFonts w:ascii="Times New Roman" w:hAnsi="Times New Roman" w:cs="Times New Roman"/>
          <w:sz w:val="24"/>
          <w:szCs w:val="24"/>
        </w:rPr>
        <w:t>Total quiz is 30 points.  Each question is worth three points.  Each sub question is worth an equal share of these three points.</w:t>
      </w:r>
    </w:p>
    <w:p w:rsidR="00870830" w:rsidRPr="00870830" w:rsidRDefault="00870830" w:rsidP="00870830">
      <w:pPr>
        <w:numPr>
          <w:ilvl w:val="0"/>
          <w:numId w:val="2"/>
        </w:numPr>
        <w:spacing w:after="0" w:line="240" w:lineRule="auto"/>
        <w:rPr>
          <w:rFonts w:ascii="Times New Roman" w:hAnsi="Times New Roman" w:cs="Times New Roman"/>
          <w:sz w:val="24"/>
          <w:szCs w:val="24"/>
        </w:rPr>
      </w:pPr>
      <w:r w:rsidRPr="00870830">
        <w:rPr>
          <w:rFonts w:ascii="Times New Roman" w:hAnsi="Times New Roman" w:cs="Times New Roman"/>
          <w:sz w:val="24"/>
          <w:szCs w:val="24"/>
        </w:rPr>
        <w:t>Circle to indicate whether the statement is true or false.</w:t>
      </w:r>
    </w:p>
    <w:tbl>
      <w:tblPr>
        <w:tblStyle w:val="TableGrid"/>
        <w:tblW w:w="0" w:type="auto"/>
        <w:tblLook w:val="01E0" w:firstRow="1" w:lastRow="1" w:firstColumn="1" w:lastColumn="1" w:noHBand="0" w:noVBand="0"/>
      </w:tblPr>
      <w:tblGrid>
        <w:gridCol w:w="6768"/>
        <w:gridCol w:w="2088"/>
      </w:tblGrid>
      <w:tr w:rsidR="00870830" w:rsidRPr="00870830" w:rsidTr="00F26714">
        <w:tc>
          <w:tcPr>
            <w:tcW w:w="6768" w:type="dxa"/>
          </w:tcPr>
          <w:p w:rsidR="00870830" w:rsidRPr="00870830" w:rsidRDefault="00870830" w:rsidP="00F26714">
            <w:pPr>
              <w:rPr>
                <w:b/>
                <w:sz w:val="24"/>
                <w:szCs w:val="24"/>
              </w:rPr>
            </w:pPr>
            <w:r w:rsidRPr="00870830">
              <w:rPr>
                <w:b/>
                <w:sz w:val="24"/>
                <w:szCs w:val="24"/>
              </w:rPr>
              <w:t>Statement</w:t>
            </w:r>
          </w:p>
        </w:tc>
        <w:tc>
          <w:tcPr>
            <w:tcW w:w="2088" w:type="dxa"/>
          </w:tcPr>
          <w:p w:rsidR="00870830" w:rsidRPr="00870830" w:rsidRDefault="00870830" w:rsidP="00F26714">
            <w:pPr>
              <w:rPr>
                <w:b/>
                <w:sz w:val="24"/>
                <w:szCs w:val="24"/>
              </w:rPr>
            </w:pPr>
            <w:r w:rsidRPr="00870830">
              <w:rPr>
                <w:b/>
                <w:sz w:val="24"/>
                <w:szCs w:val="24"/>
              </w:rPr>
              <w:t>Is the statement True or False?</w:t>
            </w:r>
          </w:p>
        </w:tc>
      </w:tr>
      <w:tr w:rsidR="00870830" w:rsidRPr="00870830" w:rsidTr="00F26714">
        <w:tc>
          <w:tcPr>
            <w:tcW w:w="6768" w:type="dxa"/>
          </w:tcPr>
          <w:p w:rsidR="00870830" w:rsidRPr="00870830" w:rsidRDefault="00870830" w:rsidP="00F26714">
            <w:pPr>
              <w:rPr>
                <w:sz w:val="24"/>
                <w:szCs w:val="24"/>
              </w:rPr>
            </w:pPr>
            <w:r>
              <w:rPr>
                <w:sz w:val="24"/>
                <w:szCs w:val="24"/>
              </w:rPr>
              <w:t>The Harrod Domar model predicts increasing the savings rate will increase the growth rate of an economy.</w:t>
            </w:r>
          </w:p>
          <w:p w:rsidR="00870830" w:rsidRPr="00870830" w:rsidRDefault="00870830" w:rsidP="00F26714">
            <w:pPr>
              <w:rPr>
                <w:sz w:val="24"/>
                <w:szCs w:val="24"/>
              </w:rPr>
            </w:pPr>
          </w:p>
        </w:tc>
        <w:tc>
          <w:tcPr>
            <w:tcW w:w="2088" w:type="dxa"/>
          </w:tcPr>
          <w:p w:rsidR="00870830" w:rsidRPr="00870830" w:rsidRDefault="00870830" w:rsidP="00F26714">
            <w:pPr>
              <w:rPr>
                <w:sz w:val="24"/>
                <w:szCs w:val="24"/>
              </w:rPr>
            </w:pPr>
            <w:r w:rsidRPr="00870830">
              <w:rPr>
                <w:sz w:val="24"/>
                <w:szCs w:val="24"/>
              </w:rPr>
              <w:t>True or False</w:t>
            </w:r>
          </w:p>
        </w:tc>
      </w:tr>
      <w:tr w:rsidR="00870830" w:rsidRPr="00870830" w:rsidTr="00F26714">
        <w:tc>
          <w:tcPr>
            <w:tcW w:w="6768" w:type="dxa"/>
          </w:tcPr>
          <w:p w:rsidR="00870830" w:rsidRPr="00870830" w:rsidRDefault="00870830" w:rsidP="00F26714">
            <w:pPr>
              <w:rPr>
                <w:sz w:val="24"/>
                <w:szCs w:val="24"/>
              </w:rPr>
            </w:pPr>
            <w:proofErr w:type="spellStart"/>
            <w:r>
              <w:rPr>
                <w:sz w:val="24"/>
                <w:szCs w:val="24"/>
              </w:rPr>
              <w:t>Sen</w:t>
            </w:r>
            <w:proofErr w:type="spellEnd"/>
            <w:r>
              <w:rPr>
                <w:sz w:val="24"/>
                <w:szCs w:val="24"/>
              </w:rPr>
              <w:t xml:space="preserve"> states that</w:t>
            </w:r>
            <w:r w:rsidRPr="00870830">
              <w:rPr>
                <w:sz w:val="24"/>
                <w:szCs w:val="24"/>
              </w:rPr>
              <w:t xml:space="preserve"> one of the main themes of the first generation of development econom</w:t>
            </w:r>
            <w:r w:rsidR="008D1B38">
              <w:rPr>
                <w:sz w:val="24"/>
                <w:szCs w:val="24"/>
              </w:rPr>
              <w:t xml:space="preserve">ics was </w:t>
            </w:r>
            <w:r>
              <w:rPr>
                <w:sz w:val="24"/>
                <w:szCs w:val="24"/>
              </w:rPr>
              <w:t>identifying what policies will lead to higher Total Factor Productivity growth</w:t>
            </w:r>
            <w:r w:rsidRPr="00870830">
              <w:rPr>
                <w:sz w:val="24"/>
                <w:szCs w:val="24"/>
              </w:rPr>
              <w:t>.</w:t>
            </w:r>
          </w:p>
        </w:tc>
        <w:tc>
          <w:tcPr>
            <w:tcW w:w="2088" w:type="dxa"/>
          </w:tcPr>
          <w:p w:rsidR="00870830" w:rsidRPr="00870830" w:rsidRDefault="00870830" w:rsidP="00F26714">
            <w:pPr>
              <w:rPr>
                <w:sz w:val="24"/>
                <w:szCs w:val="24"/>
              </w:rPr>
            </w:pPr>
            <w:r w:rsidRPr="00870830">
              <w:rPr>
                <w:sz w:val="24"/>
                <w:szCs w:val="24"/>
              </w:rPr>
              <w:t>True or False</w:t>
            </w:r>
          </w:p>
        </w:tc>
      </w:tr>
      <w:tr w:rsidR="00870830" w:rsidRPr="00870830" w:rsidTr="00F26714">
        <w:tc>
          <w:tcPr>
            <w:tcW w:w="6768" w:type="dxa"/>
          </w:tcPr>
          <w:p w:rsidR="00870830" w:rsidRPr="00870830" w:rsidRDefault="00870830" w:rsidP="00F26714">
            <w:pPr>
              <w:rPr>
                <w:sz w:val="24"/>
                <w:szCs w:val="24"/>
              </w:rPr>
            </w:pPr>
            <w:r w:rsidRPr="00870830">
              <w:rPr>
                <w:sz w:val="24"/>
                <w:szCs w:val="24"/>
              </w:rPr>
              <w:t>Neutral technological progress leaves unchanged the marginal rate of technical substitution for a given input bundle, but changes the amount of output produced using that input bundle.</w:t>
            </w:r>
          </w:p>
        </w:tc>
        <w:tc>
          <w:tcPr>
            <w:tcW w:w="2088" w:type="dxa"/>
          </w:tcPr>
          <w:p w:rsidR="00870830" w:rsidRPr="00870830" w:rsidRDefault="00870830" w:rsidP="00F26714">
            <w:pPr>
              <w:rPr>
                <w:sz w:val="24"/>
                <w:szCs w:val="24"/>
              </w:rPr>
            </w:pPr>
            <w:r w:rsidRPr="00870830">
              <w:rPr>
                <w:sz w:val="24"/>
                <w:szCs w:val="24"/>
              </w:rPr>
              <w:t>True or False</w:t>
            </w:r>
          </w:p>
        </w:tc>
      </w:tr>
      <w:tr w:rsidR="00870830" w:rsidRPr="00870830" w:rsidTr="00F26714">
        <w:tc>
          <w:tcPr>
            <w:tcW w:w="6768" w:type="dxa"/>
          </w:tcPr>
          <w:p w:rsidR="00870830" w:rsidRPr="00870830" w:rsidRDefault="00870830" w:rsidP="00F26714">
            <w:pPr>
              <w:rPr>
                <w:sz w:val="24"/>
                <w:szCs w:val="24"/>
              </w:rPr>
            </w:pPr>
            <w:r w:rsidRPr="00870830">
              <w:rPr>
                <w:sz w:val="24"/>
                <w:szCs w:val="24"/>
              </w:rPr>
              <w:t>According to the theory of comparative advantage, every c</w:t>
            </w:r>
            <w:r>
              <w:rPr>
                <w:sz w:val="24"/>
                <w:szCs w:val="24"/>
              </w:rPr>
              <w:t>ountry has to have a comparative</w:t>
            </w:r>
            <w:r w:rsidRPr="00870830">
              <w:rPr>
                <w:sz w:val="24"/>
                <w:szCs w:val="24"/>
              </w:rPr>
              <w:t xml:space="preserve"> advantage in the production of at least one commodity.</w:t>
            </w:r>
          </w:p>
        </w:tc>
        <w:tc>
          <w:tcPr>
            <w:tcW w:w="2088" w:type="dxa"/>
          </w:tcPr>
          <w:p w:rsidR="00870830" w:rsidRPr="00870830" w:rsidRDefault="00870830" w:rsidP="00F26714">
            <w:pPr>
              <w:rPr>
                <w:sz w:val="24"/>
                <w:szCs w:val="24"/>
              </w:rPr>
            </w:pPr>
            <w:r w:rsidRPr="00870830">
              <w:rPr>
                <w:sz w:val="24"/>
                <w:szCs w:val="24"/>
              </w:rPr>
              <w:t>True or False</w:t>
            </w:r>
          </w:p>
        </w:tc>
      </w:tr>
      <w:tr w:rsidR="00870830" w:rsidRPr="00870830" w:rsidTr="00F26714">
        <w:tc>
          <w:tcPr>
            <w:tcW w:w="6768" w:type="dxa"/>
          </w:tcPr>
          <w:p w:rsidR="00870830" w:rsidRPr="00870830" w:rsidRDefault="00870830" w:rsidP="00F26714">
            <w:pPr>
              <w:rPr>
                <w:sz w:val="24"/>
                <w:szCs w:val="24"/>
              </w:rPr>
            </w:pPr>
            <w:r w:rsidRPr="00870830">
              <w:rPr>
                <w:sz w:val="24"/>
                <w:szCs w:val="24"/>
              </w:rPr>
              <w:t>The ‘</w:t>
            </w:r>
            <w:proofErr w:type="spellStart"/>
            <w:r w:rsidRPr="00870830">
              <w:rPr>
                <w:sz w:val="24"/>
                <w:szCs w:val="24"/>
              </w:rPr>
              <w:t>Prebisch</w:t>
            </w:r>
            <w:proofErr w:type="spellEnd"/>
            <w:r w:rsidRPr="00870830">
              <w:rPr>
                <w:sz w:val="24"/>
                <w:szCs w:val="24"/>
              </w:rPr>
              <w:t xml:space="preserve">-Singer’ hypothesis is based on the argument that the income elasticity of demand </w:t>
            </w:r>
            <w:r>
              <w:rPr>
                <w:sz w:val="24"/>
                <w:szCs w:val="24"/>
              </w:rPr>
              <w:t>for manufactured goods is lower</w:t>
            </w:r>
            <w:r w:rsidRPr="00870830">
              <w:rPr>
                <w:sz w:val="24"/>
                <w:szCs w:val="24"/>
              </w:rPr>
              <w:t xml:space="preserve"> than the income elasticity of demand for primary products.</w:t>
            </w:r>
          </w:p>
        </w:tc>
        <w:tc>
          <w:tcPr>
            <w:tcW w:w="2088" w:type="dxa"/>
          </w:tcPr>
          <w:p w:rsidR="00870830" w:rsidRPr="00870830" w:rsidRDefault="00870830" w:rsidP="00F26714">
            <w:pPr>
              <w:rPr>
                <w:sz w:val="24"/>
                <w:szCs w:val="24"/>
              </w:rPr>
            </w:pPr>
            <w:r w:rsidRPr="00870830">
              <w:rPr>
                <w:sz w:val="24"/>
                <w:szCs w:val="24"/>
              </w:rPr>
              <w:t>True or False</w:t>
            </w:r>
          </w:p>
        </w:tc>
      </w:tr>
      <w:tr w:rsidR="00870830" w:rsidRPr="00870830" w:rsidTr="00F26714">
        <w:tc>
          <w:tcPr>
            <w:tcW w:w="6768" w:type="dxa"/>
          </w:tcPr>
          <w:p w:rsidR="00870830" w:rsidRPr="00870830" w:rsidRDefault="00870830" w:rsidP="00F26714">
            <w:pPr>
              <w:rPr>
                <w:sz w:val="24"/>
                <w:szCs w:val="24"/>
              </w:rPr>
            </w:pPr>
            <w:r>
              <w:rPr>
                <w:sz w:val="24"/>
                <w:szCs w:val="24"/>
              </w:rPr>
              <w:t>Dumping</w:t>
            </w:r>
            <w:r w:rsidRPr="00870830">
              <w:rPr>
                <w:sz w:val="24"/>
                <w:szCs w:val="24"/>
              </w:rPr>
              <w:t xml:space="preserve"> is when a firm that has monopoly power in a home country sells uses the monopoly profits to sell at a lower price in foreign markets to drive out competitors.</w:t>
            </w:r>
          </w:p>
        </w:tc>
        <w:tc>
          <w:tcPr>
            <w:tcW w:w="2088" w:type="dxa"/>
          </w:tcPr>
          <w:p w:rsidR="00870830" w:rsidRPr="00870830" w:rsidRDefault="00870830" w:rsidP="00F26714">
            <w:pPr>
              <w:rPr>
                <w:sz w:val="24"/>
                <w:szCs w:val="24"/>
              </w:rPr>
            </w:pPr>
            <w:r w:rsidRPr="00870830">
              <w:rPr>
                <w:sz w:val="24"/>
                <w:szCs w:val="24"/>
              </w:rPr>
              <w:t>True or False</w:t>
            </w:r>
          </w:p>
        </w:tc>
      </w:tr>
      <w:tr w:rsidR="00870830" w:rsidRPr="00870830" w:rsidTr="00F26714">
        <w:tc>
          <w:tcPr>
            <w:tcW w:w="6768" w:type="dxa"/>
          </w:tcPr>
          <w:p w:rsidR="00870830" w:rsidRPr="00870830" w:rsidRDefault="00870830" w:rsidP="00F26714">
            <w:pPr>
              <w:rPr>
                <w:sz w:val="24"/>
                <w:szCs w:val="24"/>
              </w:rPr>
            </w:pPr>
            <w:r w:rsidRPr="00870830">
              <w:rPr>
                <w:sz w:val="24"/>
                <w:szCs w:val="24"/>
              </w:rPr>
              <w:t>The United States is the largest provider of ODA compared to any other member of the OECD in terms of the total amount provided by a country.</w:t>
            </w:r>
          </w:p>
        </w:tc>
        <w:tc>
          <w:tcPr>
            <w:tcW w:w="2088" w:type="dxa"/>
          </w:tcPr>
          <w:p w:rsidR="00870830" w:rsidRPr="00870830" w:rsidRDefault="00870830" w:rsidP="00F26714">
            <w:pPr>
              <w:rPr>
                <w:sz w:val="24"/>
                <w:szCs w:val="24"/>
              </w:rPr>
            </w:pPr>
            <w:r w:rsidRPr="00870830">
              <w:rPr>
                <w:sz w:val="24"/>
                <w:szCs w:val="24"/>
              </w:rPr>
              <w:t>True or False</w:t>
            </w:r>
          </w:p>
        </w:tc>
      </w:tr>
      <w:tr w:rsidR="00870830" w:rsidRPr="00870830" w:rsidTr="00F26714">
        <w:tc>
          <w:tcPr>
            <w:tcW w:w="6768" w:type="dxa"/>
          </w:tcPr>
          <w:p w:rsidR="00870830" w:rsidRDefault="00870830" w:rsidP="00F26714">
            <w:pPr>
              <w:rPr>
                <w:sz w:val="24"/>
                <w:szCs w:val="24"/>
              </w:rPr>
            </w:pPr>
            <w:r>
              <w:rPr>
                <w:sz w:val="24"/>
                <w:szCs w:val="24"/>
              </w:rPr>
              <w:t>Bilateral military aid is included in the OECD’s calculation of the value of ODA.</w:t>
            </w:r>
          </w:p>
          <w:p w:rsidR="00870830" w:rsidRPr="00870830" w:rsidRDefault="00870830" w:rsidP="00F26714">
            <w:pPr>
              <w:rPr>
                <w:sz w:val="24"/>
                <w:szCs w:val="24"/>
              </w:rPr>
            </w:pPr>
          </w:p>
        </w:tc>
        <w:tc>
          <w:tcPr>
            <w:tcW w:w="2088" w:type="dxa"/>
          </w:tcPr>
          <w:p w:rsidR="00870830" w:rsidRPr="00870830" w:rsidRDefault="00870830" w:rsidP="00F26714">
            <w:pPr>
              <w:rPr>
                <w:sz w:val="24"/>
                <w:szCs w:val="24"/>
              </w:rPr>
            </w:pPr>
            <w:r w:rsidRPr="00870830">
              <w:rPr>
                <w:sz w:val="24"/>
                <w:szCs w:val="24"/>
              </w:rPr>
              <w:t>True or False</w:t>
            </w:r>
          </w:p>
        </w:tc>
      </w:tr>
    </w:tbl>
    <w:p w:rsidR="00870830" w:rsidRPr="00870830" w:rsidRDefault="00870830" w:rsidP="00870830">
      <w:pPr>
        <w:ind w:left="360"/>
        <w:rPr>
          <w:rFonts w:ascii="Times New Roman" w:hAnsi="Times New Roman" w:cs="Times New Roman"/>
          <w:sz w:val="24"/>
          <w:szCs w:val="24"/>
        </w:rPr>
      </w:pPr>
    </w:p>
    <w:p w:rsidR="00870830" w:rsidRPr="00870830" w:rsidRDefault="00870830" w:rsidP="00870830">
      <w:pPr>
        <w:ind w:left="360"/>
        <w:rPr>
          <w:rFonts w:ascii="Times New Roman" w:hAnsi="Times New Roman" w:cs="Times New Roman"/>
          <w:sz w:val="24"/>
          <w:szCs w:val="24"/>
        </w:rPr>
      </w:pPr>
    </w:p>
    <w:p w:rsidR="00870830" w:rsidRDefault="00870830" w:rsidP="00870830">
      <w:r>
        <w:t xml:space="preserve"> </w:t>
      </w:r>
    </w:p>
    <w:p w:rsidR="00870830" w:rsidRDefault="00870830" w:rsidP="00870830"/>
    <w:p w:rsidR="00870830" w:rsidRDefault="00870830" w:rsidP="00870830"/>
    <w:p w:rsidR="00870830" w:rsidRPr="00870830" w:rsidRDefault="00870830" w:rsidP="00870830">
      <w:pPr>
        <w:pStyle w:val="ListParagraph"/>
        <w:numPr>
          <w:ilvl w:val="0"/>
          <w:numId w:val="2"/>
        </w:numPr>
      </w:pPr>
      <w:r>
        <w:br w:type="page"/>
      </w:r>
      <w:r w:rsidRPr="00870830">
        <w:lastRenderedPageBreak/>
        <w:t>Growth theories.</w:t>
      </w:r>
    </w:p>
    <w:p w:rsidR="00870830" w:rsidRPr="00870830" w:rsidRDefault="00870830" w:rsidP="00870830">
      <w:pPr>
        <w:numPr>
          <w:ilvl w:val="1"/>
          <w:numId w:val="2"/>
        </w:numPr>
        <w:spacing w:after="0" w:line="240" w:lineRule="auto"/>
        <w:rPr>
          <w:rFonts w:ascii="Times New Roman" w:hAnsi="Times New Roman" w:cs="Times New Roman"/>
          <w:sz w:val="24"/>
          <w:szCs w:val="24"/>
        </w:rPr>
      </w:pPr>
      <w:r w:rsidRPr="00870830">
        <w:rPr>
          <w:rFonts w:ascii="Times New Roman" w:hAnsi="Times New Roman" w:cs="Times New Roman"/>
          <w:sz w:val="24"/>
          <w:szCs w:val="24"/>
        </w:rPr>
        <w:t>Using the notation on this graph, use the space below the graph to describe the contrast Solow drew between growth from technological progress and growth from increased savings.  In the graph</w:t>
      </w:r>
      <w:proofErr w:type="gramStart"/>
      <w:r w:rsidRPr="00870830">
        <w:rPr>
          <w:rFonts w:ascii="Times New Roman" w:hAnsi="Times New Roman" w:cs="Times New Roman"/>
          <w:sz w:val="24"/>
          <w:szCs w:val="24"/>
        </w:rPr>
        <w:t>,  k</w:t>
      </w:r>
      <w:proofErr w:type="gramEnd"/>
      <w:r w:rsidRPr="00870830">
        <w:rPr>
          <w:rFonts w:ascii="Times New Roman" w:hAnsi="Times New Roman" w:cs="Times New Roman"/>
          <w:sz w:val="24"/>
          <w:szCs w:val="24"/>
        </w:rPr>
        <w:t xml:space="preserve"> is capital per worker on the x axis, output per worker is defined as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β</m:t>
            </m:r>
          </m:sup>
        </m:sSup>
      </m:oMath>
      <w:r w:rsidRPr="00870830">
        <w:rPr>
          <w:rFonts w:ascii="Times New Roman" w:hAnsi="Times New Roman" w:cs="Times New Roman"/>
          <w:sz w:val="24"/>
          <w:szCs w:val="24"/>
        </w:rPr>
        <w:t xml:space="preserve"> on the y axis with α capturing technological knowledge and β the share of national income controlled by owners of capital, n is population growth rate, δ is the depreciation rate, and </w:t>
      </w:r>
      <w:proofErr w:type="spellStart"/>
      <w:r w:rsidRPr="00870830">
        <w:rPr>
          <w:rFonts w:ascii="Times New Roman" w:hAnsi="Times New Roman" w:cs="Times New Roman"/>
          <w:sz w:val="24"/>
          <w:szCs w:val="24"/>
        </w:rPr>
        <w:t>s</w:t>
      </w:r>
      <w:proofErr w:type="spellEnd"/>
      <w:r w:rsidRPr="00870830">
        <w:rPr>
          <w:rFonts w:ascii="Times New Roman" w:hAnsi="Times New Roman" w:cs="Times New Roman"/>
          <w:sz w:val="24"/>
          <w:szCs w:val="24"/>
        </w:rPr>
        <w:t xml:space="preserve"> is the savings rate.</w:t>
      </w:r>
    </w:p>
    <w:p w:rsidR="00870830" w:rsidRDefault="00870830" w:rsidP="00870830">
      <w:r w:rsidRPr="008730C4">
        <w:rPr>
          <w:noProof/>
        </w:rPr>
        <w:drawing>
          <wp:inline distT="0" distB="0" distL="0" distR="0" wp14:anchorId="37FFBF70" wp14:editId="69600154">
            <wp:extent cx="5486400" cy="3634154"/>
            <wp:effectExtent l="19050" t="0" r="19050" b="4396"/>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70830" w:rsidRPr="00654CC0" w:rsidRDefault="00870830" w:rsidP="00870830">
      <w:pPr>
        <w:rPr>
          <w:rFonts w:ascii="Times New Roman" w:hAnsi="Times New Roman" w:cs="Times New Roman"/>
          <w:sz w:val="24"/>
          <w:szCs w:val="24"/>
        </w:rPr>
      </w:pPr>
      <w:r w:rsidRPr="00654CC0">
        <w:rPr>
          <w:rFonts w:ascii="Times New Roman" w:hAnsi="Times New Roman" w:cs="Times New Roman"/>
          <w:sz w:val="24"/>
          <w:szCs w:val="24"/>
        </w:rPr>
        <w:t>a) Growth from technological progress is represented on this graph in what way?</w:t>
      </w:r>
    </w:p>
    <w:p w:rsidR="00870830" w:rsidRPr="00654CC0" w:rsidRDefault="00870830" w:rsidP="00870830">
      <w:pPr>
        <w:rPr>
          <w:rFonts w:ascii="Times New Roman" w:hAnsi="Times New Roman" w:cs="Times New Roman"/>
          <w:sz w:val="24"/>
          <w:szCs w:val="24"/>
        </w:rPr>
      </w:pPr>
    </w:p>
    <w:p w:rsidR="00870830" w:rsidRPr="00654CC0" w:rsidRDefault="00870830" w:rsidP="00870830">
      <w:pPr>
        <w:rPr>
          <w:rFonts w:ascii="Times New Roman" w:hAnsi="Times New Roman" w:cs="Times New Roman"/>
          <w:sz w:val="24"/>
          <w:szCs w:val="24"/>
        </w:rPr>
      </w:pPr>
    </w:p>
    <w:p w:rsidR="00870830" w:rsidRPr="00654CC0" w:rsidRDefault="00870830" w:rsidP="00870830">
      <w:pPr>
        <w:rPr>
          <w:rFonts w:ascii="Times New Roman" w:hAnsi="Times New Roman" w:cs="Times New Roman"/>
          <w:sz w:val="24"/>
          <w:szCs w:val="24"/>
        </w:rPr>
      </w:pPr>
    </w:p>
    <w:p w:rsidR="00870830" w:rsidRPr="00654CC0" w:rsidRDefault="00870830" w:rsidP="00870830">
      <w:pPr>
        <w:rPr>
          <w:rFonts w:ascii="Times New Roman" w:hAnsi="Times New Roman" w:cs="Times New Roman"/>
          <w:sz w:val="24"/>
          <w:szCs w:val="24"/>
        </w:rPr>
      </w:pPr>
    </w:p>
    <w:p w:rsidR="00870830" w:rsidRPr="00654CC0" w:rsidRDefault="00870830" w:rsidP="00870830">
      <w:pPr>
        <w:rPr>
          <w:rFonts w:ascii="Times New Roman" w:hAnsi="Times New Roman" w:cs="Times New Roman"/>
          <w:sz w:val="24"/>
          <w:szCs w:val="24"/>
        </w:rPr>
      </w:pPr>
      <w:r w:rsidRPr="00654CC0">
        <w:rPr>
          <w:rFonts w:ascii="Times New Roman" w:hAnsi="Times New Roman" w:cs="Times New Roman"/>
          <w:sz w:val="24"/>
          <w:szCs w:val="24"/>
        </w:rPr>
        <w:t>b) Growth from a higher savings rate is represented on this graph in what way?</w:t>
      </w:r>
    </w:p>
    <w:p w:rsidR="00870830" w:rsidRDefault="00870830" w:rsidP="00870830">
      <w:pPr>
        <w:ind w:left="1080"/>
      </w:pPr>
    </w:p>
    <w:p w:rsidR="00870830" w:rsidRDefault="00870830" w:rsidP="00870830">
      <w:pPr>
        <w:ind w:left="1080"/>
      </w:pPr>
    </w:p>
    <w:p w:rsidR="00870830" w:rsidRDefault="00870830" w:rsidP="00870830">
      <w:pPr>
        <w:ind w:left="1080"/>
      </w:pPr>
    </w:p>
    <w:p w:rsidR="00870830" w:rsidRPr="00870830" w:rsidRDefault="00870830" w:rsidP="00870830">
      <w:pPr>
        <w:rPr>
          <w:rFonts w:ascii="Times New Roman" w:hAnsi="Times New Roman" w:cs="Times New Roman"/>
          <w:sz w:val="24"/>
          <w:szCs w:val="24"/>
        </w:rPr>
      </w:pPr>
      <w:r>
        <w:br w:type="page"/>
      </w:r>
      <w:r>
        <w:lastRenderedPageBreak/>
        <w:t xml:space="preserve">c) </w:t>
      </w:r>
      <w:r>
        <w:rPr>
          <w:rFonts w:ascii="Times New Roman" w:hAnsi="Times New Roman" w:cs="Times New Roman"/>
          <w:sz w:val="24"/>
          <w:szCs w:val="24"/>
        </w:rPr>
        <w:t>In class we discussed why the creators of the Harrod Domar model created this model. We then discussed why the Solow model was created.  Finally, we discussed how the Solow model led to the literature on (unconditional) convergence. Summarize these discussions, indicating how Harrod Domar, Solow, and the convergence literature are intellectually related</w:t>
      </w:r>
      <w:r w:rsidRPr="00870830">
        <w:rPr>
          <w:rFonts w:ascii="Times New Roman" w:hAnsi="Times New Roman" w:cs="Times New Roman"/>
          <w:sz w:val="24"/>
          <w:szCs w:val="24"/>
        </w:rPr>
        <w:t>.</w:t>
      </w:r>
    </w:p>
    <w:p w:rsidR="00870830" w:rsidRDefault="00870830" w:rsidP="00870830">
      <w:pPr>
        <w:ind w:left="1080"/>
      </w:pPr>
      <w:r>
        <w:t xml:space="preserve"> </w:t>
      </w:r>
    </w:p>
    <w:p w:rsidR="00870830" w:rsidRDefault="00870830" w:rsidP="00870830"/>
    <w:p w:rsidR="00870830" w:rsidRDefault="00870830" w:rsidP="00870830">
      <w:pPr>
        <w:pStyle w:val="ListParagraph"/>
        <w:numPr>
          <w:ilvl w:val="0"/>
          <w:numId w:val="2"/>
        </w:numPr>
      </w:pPr>
      <w:r>
        <w:br w:type="page"/>
      </w:r>
      <w:r>
        <w:lastRenderedPageBreak/>
        <w:t xml:space="preserve">Exchange rates and development strategy. </w:t>
      </w:r>
    </w:p>
    <w:p w:rsidR="00870830" w:rsidRDefault="00870830" w:rsidP="00870830">
      <w:pPr>
        <w:pStyle w:val="ListParagraph"/>
        <w:numPr>
          <w:ilvl w:val="1"/>
          <w:numId w:val="2"/>
        </w:numPr>
      </w:pPr>
      <w:r>
        <w:t>Illustrate on a supply and demand graph the impact of an overvalued domes</w:t>
      </w:r>
      <w:r w:rsidR="00654CC0">
        <w:t>tic currency on the demand for US dollars where the price is units of domestic currency per dollar, and the supply and demand curves are of US dollars</w:t>
      </w:r>
      <w:r>
        <w:t>.</w:t>
      </w: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ind w:left="1440"/>
      </w:pPr>
    </w:p>
    <w:p w:rsidR="00870830" w:rsidRDefault="00870830" w:rsidP="00870830">
      <w:pPr>
        <w:pStyle w:val="ListParagraph"/>
        <w:numPr>
          <w:ilvl w:val="1"/>
          <w:numId w:val="2"/>
        </w:numPr>
      </w:pPr>
      <w:r>
        <w:t>Explain how an overvalued currency has been used to support and import substitution industrialization strategy.</w:t>
      </w:r>
    </w:p>
    <w:p w:rsidR="00870830" w:rsidRPr="001F59C0" w:rsidRDefault="00870830" w:rsidP="00870830">
      <w:pPr>
        <w:pStyle w:val="ListParagraph"/>
        <w:numPr>
          <w:ilvl w:val="0"/>
          <w:numId w:val="2"/>
        </w:numPr>
      </w:pPr>
      <w:r>
        <w:br w:type="page"/>
      </w:r>
      <w:r w:rsidRPr="001F59C0">
        <w:lastRenderedPageBreak/>
        <w:t>More models.</w:t>
      </w:r>
    </w:p>
    <w:p w:rsidR="00870830" w:rsidRPr="001F59C0" w:rsidRDefault="00870830" w:rsidP="00870830">
      <w:pPr>
        <w:numPr>
          <w:ilvl w:val="1"/>
          <w:numId w:val="3"/>
        </w:numPr>
        <w:spacing w:after="0" w:line="240" w:lineRule="auto"/>
        <w:rPr>
          <w:rFonts w:ascii="Times New Roman" w:hAnsi="Times New Roman" w:cs="Times New Roman"/>
          <w:sz w:val="24"/>
          <w:szCs w:val="24"/>
        </w:rPr>
      </w:pPr>
      <w:r w:rsidRPr="001F59C0">
        <w:rPr>
          <w:rFonts w:ascii="Times New Roman" w:hAnsi="Times New Roman" w:cs="Times New Roman"/>
          <w:sz w:val="24"/>
          <w:szCs w:val="24"/>
        </w:rPr>
        <w:t>Identify the model associated with this figure and define F, L, N and W.</w:t>
      </w:r>
    </w:p>
    <w:p w:rsidR="00870830" w:rsidRDefault="00870830" w:rsidP="008D1B38">
      <w:pPr>
        <w:spacing w:after="0" w:line="240" w:lineRule="auto"/>
        <w:rPr>
          <w:sz w:val="32"/>
          <w:szCs w:val="32"/>
        </w:rPr>
      </w:pPr>
      <w:r>
        <w:rPr>
          <w:noProof/>
          <w:sz w:val="32"/>
          <w:szCs w:val="32"/>
        </w:rPr>
        <w:drawing>
          <wp:inline distT="0" distB="0" distL="0" distR="0" wp14:anchorId="523114F4" wp14:editId="3FFDBDFD">
            <wp:extent cx="4781550" cy="2611201"/>
            <wp:effectExtent l="0" t="0" r="0" b="0"/>
            <wp:docPr id="1" name="Picture 2" descr="http://web.mit.edu/krugman/www/bigpu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it.edu/krugman/www/bigpush.gif"/>
                    <pic:cNvPicPr>
                      <a:picLocks noChangeAspect="1" noChangeArrowheads="1"/>
                    </pic:cNvPicPr>
                  </pic:nvPicPr>
                  <pic:blipFill>
                    <a:blip r:embed="rId7" r:link="rId8" cstate="print"/>
                    <a:srcRect/>
                    <a:stretch>
                      <a:fillRect/>
                    </a:stretch>
                  </pic:blipFill>
                  <pic:spPr bwMode="auto">
                    <a:xfrm>
                      <a:off x="0" y="0"/>
                      <a:ext cx="4781550" cy="2611201"/>
                    </a:xfrm>
                    <a:prstGeom prst="rect">
                      <a:avLst/>
                    </a:prstGeom>
                    <a:noFill/>
                    <a:ln w="9525">
                      <a:noFill/>
                      <a:miter lim="800000"/>
                      <a:headEnd/>
                      <a:tailEnd/>
                    </a:ln>
                  </pic:spPr>
                </pic:pic>
              </a:graphicData>
            </a:graphic>
          </wp:inline>
        </w:drawing>
      </w:r>
    </w:p>
    <w:p w:rsidR="008D1B38" w:rsidRDefault="008D1B38" w:rsidP="008D1B38">
      <w:pPr>
        <w:spacing w:after="0" w:line="240" w:lineRule="auto"/>
        <w:rPr>
          <w:rFonts w:ascii="Times New Roman" w:hAnsi="Times New Roman" w:cs="Times New Roman"/>
          <w:sz w:val="24"/>
          <w:szCs w:val="24"/>
        </w:rPr>
      </w:pPr>
      <w:r>
        <w:rPr>
          <w:rFonts w:ascii="Times New Roman" w:hAnsi="Times New Roman" w:cs="Times New Roman"/>
          <w:sz w:val="24"/>
          <w:szCs w:val="24"/>
        </w:rPr>
        <w:t>Model name_______________________________________________________________</w:t>
      </w:r>
    </w:p>
    <w:p w:rsidR="008D1B38" w:rsidRDefault="008D1B38" w:rsidP="008D1B38">
      <w:pPr>
        <w:spacing w:after="0" w:line="240" w:lineRule="auto"/>
        <w:rPr>
          <w:rFonts w:ascii="Times New Roman" w:hAnsi="Times New Roman" w:cs="Times New Roman"/>
          <w:sz w:val="24"/>
          <w:szCs w:val="24"/>
        </w:rPr>
      </w:pPr>
      <w:r>
        <w:rPr>
          <w:rFonts w:ascii="Times New Roman" w:hAnsi="Times New Roman" w:cs="Times New Roman"/>
          <w:sz w:val="24"/>
          <w:szCs w:val="24"/>
        </w:rPr>
        <w:t>F________________________________________________________________________</w:t>
      </w:r>
    </w:p>
    <w:p w:rsidR="008D1B38" w:rsidRDefault="008D1B38" w:rsidP="008D1B38">
      <w:pPr>
        <w:spacing w:after="0" w:line="240" w:lineRule="auto"/>
        <w:rPr>
          <w:rFonts w:ascii="Times New Roman" w:hAnsi="Times New Roman" w:cs="Times New Roman"/>
          <w:sz w:val="24"/>
          <w:szCs w:val="24"/>
        </w:rPr>
      </w:pPr>
      <w:r>
        <w:rPr>
          <w:rFonts w:ascii="Times New Roman" w:hAnsi="Times New Roman" w:cs="Times New Roman"/>
          <w:sz w:val="24"/>
          <w:szCs w:val="24"/>
        </w:rPr>
        <w:t>L________________________________________________________________________</w:t>
      </w:r>
    </w:p>
    <w:p w:rsidR="008D1B38" w:rsidRDefault="008D1B38" w:rsidP="008D1B38">
      <w:pPr>
        <w:spacing w:after="0" w:line="240" w:lineRule="auto"/>
        <w:rPr>
          <w:rFonts w:ascii="Times New Roman" w:hAnsi="Times New Roman" w:cs="Times New Roman"/>
          <w:sz w:val="24"/>
          <w:szCs w:val="24"/>
        </w:rPr>
      </w:pPr>
      <w:r>
        <w:rPr>
          <w:rFonts w:ascii="Times New Roman" w:hAnsi="Times New Roman" w:cs="Times New Roman"/>
          <w:sz w:val="24"/>
          <w:szCs w:val="24"/>
        </w:rPr>
        <w:t>N________________________________________________________________________</w:t>
      </w:r>
    </w:p>
    <w:p w:rsidR="00870830" w:rsidRPr="008D1B38" w:rsidRDefault="008D1B38" w:rsidP="008D1B38">
      <w:pPr>
        <w:spacing w:after="0" w:line="240" w:lineRule="auto"/>
        <w:rPr>
          <w:rFonts w:ascii="Times New Roman" w:hAnsi="Times New Roman" w:cs="Times New Roman"/>
          <w:sz w:val="24"/>
          <w:szCs w:val="24"/>
        </w:rPr>
      </w:pPr>
      <w:r>
        <w:rPr>
          <w:rFonts w:ascii="Times New Roman" w:hAnsi="Times New Roman" w:cs="Times New Roman"/>
          <w:sz w:val="24"/>
          <w:szCs w:val="24"/>
        </w:rPr>
        <w:t>W________________________________________________________________________</w:t>
      </w:r>
    </w:p>
    <w:p w:rsidR="00870830" w:rsidRPr="001F59C0" w:rsidRDefault="00870830" w:rsidP="00870830">
      <w:pPr>
        <w:numPr>
          <w:ilvl w:val="1"/>
          <w:numId w:val="3"/>
        </w:numPr>
        <w:spacing w:after="0" w:line="240" w:lineRule="auto"/>
        <w:rPr>
          <w:rFonts w:ascii="Times New Roman" w:hAnsi="Times New Roman" w:cs="Times New Roman"/>
          <w:sz w:val="24"/>
          <w:szCs w:val="24"/>
        </w:rPr>
      </w:pPr>
      <w:r w:rsidRPr="001F59C0">
        <w:rPr>
          <w:rFonts w:ascii="Times New Roman" w:hAnsi="Times New Roman" w:cs="Times New Roman"/>
          <w:sz w:val="24"/>
          <w:szCs w:val="24"/>
        </w:rPr>
        <w:t>In the figure above, coordination is needed across the N sectors if modernization is to occur</w:t>
      </w:r>
      <w:r w:rsidR="00BC56D9">
        <w:rPr>
          <w:rFonts w:ascii="Times New Roman" w:hAnsi="Times New Roman" w:cs="Times New Roman"/>
          <w:sz w:val="24"/>
          <w:szCs w:val="24"/>
        </w:rPr>
        <w:t xml:space="preserve"> in all N sectors of the economy</w:t>
      </w:r>
      <w:r w:rsidRPr="001F59C0">
        <w:rPr>
          <w:rFonts w:ascii="Times New Roman" w:hAnsi="Times New Roman" w:cs="Times New Roman"/>
          <w:sz w:val="24"/>
          <w:szCs w:val="24"/>
        </w:rPr>
        <w:t>.  Why?</w:t>
      </w:r>
    </w:p>
    <w:p w:rsidR="00870830" w:rsidRPr="001F59C0" w:rsidRDefault="00870830" w:rsidP="00870830">
      <w:pPr>
        <w:spacing w:after="0" w:line="240" w:lineRule="auto"/>
        <w:rPr>
          <w:rFonts w:ascii="Times New Roman" w:hAnsi="Times New Roman" w:cs="Times New Roman"/>
          <w:sz w:val="24"/>
          <w:szCs w:val="24"/>
        </w:rPr>
      </w:pPr>
    </w:p>
    <w:p w:rsidR="00870830" w:rsidRPr="001F59C0" w:rsidRDefault="00870830" w:rsidP="00870830">
      <w:pPr>
        <w:spacing w:after="0" w:line="240" w:lineRule="auto"/>
        <w:rPr>
          <w:rFonts w:ascii="Times New Roman" w:hAnsi="Times New Roman" w:cs="Times New Roman"/>
          <w:sz w:val="24"/>
          <w:szCs w:val="24"/>
        </w:rPr>
      </w:pPr>
    </w:p>
    <w:p w:rsidR="00870830" w:rsidRPr="001F59C0" w:rsidRDefault="00870830" w:rsidP="00870830">
      <w:pPr>
        <w:spacing w:after="0" w:line="240" w:lineRule="auto"/>
        <w:rPr>
          <w:rFonts w:ascii="Times New Roman" w:hAnsi="Times New Roman" w:cs="Times New Roman"/>
          <w:sz w:val="24"/>
          <w:szCs w:val="24"/>
        </w:rPr>
      </w:pPr>
    </w:p>
    <w:p w:rsidR="00870830" w:rsidRPr="001F59C0" w:rsidRDefault="00870830" w:rsidP="00870830">
      <w:pPr>
        <w:spacing w:after="0" w:line="240" w:lineRule="auto"/>
        <w:rPr>
          <w:rFonts w:ascii="Times New Roman" w:hAnsi="Times New Roman" w:cs="Times New Roman"/>
          <w:sz w:val="24"/>
          <w:szCs w:val="24"/>
        </w:rPr>
      </w:pPr>
    </w:p>
    <w:p w:rsidR="00870830" w:rsidRPr="001F59C0" w:rsidRDefault="00870830" w:rsidP="00870830">
      <w:pPr>
        <w:spacing w:after="0" w:line="240" w:lineRule="auto"/>
        <w:rPr>
          <w:rFonts w:ascii="Times New Roman" w:hAnsi="Times New Roman" w:cs="Times New Roman"/>
          <w:sz w:val="24"/>
          <w:szCs w:val="24"/>
        </w:rPr>
      </w:pPr>
    </w:p>
    <w:p w:rsidR="00870830" w:rsidRPr="001F59C0" w:rsidRDefault="00870830" w:rsidP="00870830">
      <w:pPr>
        <w:spacing w:after="0" w:line="240" w:lineRule="auto"/>
        <w:rPr>
          <w:rFonts w:ascii="Times New Roman" w:hAnsi="Times New Roman" w:cs="Times New Roman"/>
          <w:sz w:val="24"/>
          <w:szCs w:val="24"/>
        </w:rPr>
      </w:pPr>
    </w:p>
    <w:p w:rsidR="00870830" w:rsidRDefault="00870830" w:rsidP="00870830">
      <w:pPr>
        <w:spacing w:after="0" w:line="240" w:lineRule="auto"/>
        <w:rPr>
          <w:rFonts w:ascii="Times New Roman" w:hAnsi="Times New Roman" w:cs="Times New Roman"/>
          <w:sz w:val="24"/>
          <w:szCs w:val="24"/>
        </w:rPr>
      </w:pPr>
    </w:p>
    <w:p w:rsidR="005E1FF5" w:rsidRDefault="005E1FF5" w:rsidP="00870830">
      <w:pPr>
        <w:spacing w:after="0" w:line="240" w:lineRule="auto"/>
        <w:rPr>
          <w:rFonts w:ascii="Times New Roman" w:hAnsi="Times New Roman" w:cs="Times New Roman"/>
          <w:sz w:val="24"/>
          <w:szCs w:val="24"/>
        </w:rPr>
      </w:pPr>
    </w:p>
    <w:p w:rsidR="005E1FF5" w:rsidRDefault="005E1FF5" w:rsidP="00870830">
      <w:pPr>
        <w:spacing w:after="0" w:line="240" w:lineRule="auto"/>
        <w:rPr>
          <w:rFonts w:ascii="Times New Roman" w:hAnsi="Times New Roman" w:cs="Times New Roman"/>
          <w:sz w:val="24"/>
          <w:szCs w:val="24"/>
        </w:rPr>
      </w:pPr>
    </w:p>
    <w:p w:rsidR="005E1FF5" w:rsidRPr="001F59C0" w:rsidRDefault="005E1FF5" w:rsidP="00870830">
      <w:pPr>
        <w:spacing w:after="0" w:line="240" w:lineRule="auto"/>
        <w:rPr>
          <w:rFonts w:ascii="Times New Roman" w:hAnsi="Times New Roman" w:cs="Times New Roman"/>
          <w:sz w:val="24"/>
          <w:szCs w:val="24"/>
        </w:rPr>
      </w:pPr>
    </w:p>
    <w:p w:rsidR="00870830" w:rsidRPr="005E1FF5" w:rsidRDefault="005E1FF5" w:rsidP="00870830">
      <w:pPr>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Draw on the</w:t>
      </w:r>
      <w:r w:rsidR="00870830" w:rsidRPr="001F59C0">
        <w:rPr>
          <w:rFonts w:ascii="Times New Roman" w:hAnsi="Times New Roman" w:cs="Times New Roman"/>
          <w:sz w:val="24"/>
          <w:szCs w:val="24"/>
        </w:rPr>
        <w:t xml:space="preserve"> figure </w:t>
      </w:r>
      <w:r>
        <w:rPr>
          <w:rFonts w:ascii="Times New Roman" w:hAnsi="Times New Roman" w:cs="Times New Roman"/>
          <w:sz w:val="24"/>
          <w:szCs w:val="24"/>
        </w:rPr>
        <w:t xml:space="preserve">above </w:t>
      </w:r>
      <w:r w:rsidR="00870830" w:rsidRPr="001F59C0">
        <w:rPr>
          <w:rFonts w:ascii="Times New Roman" w:hAnsi="Times New Roman" w:cs="Times New Roman"/>
          <w:sz w:val="24"/>
          <w:szCs w:val="24"/>
        </w:rPr>
        <w:t xml:space="preserve">a cost curve </w:t>
      </w:r>
      <w:r>
        <w:rPr>
          <w:rFonts w:ascii="Times New Roman" w:hAnsi="Times New Roman" w:cs="Times New Roman"/>
          <w:sz w:val="24"/>
          <w:szCs w:val="24"/>
        </w:rPr>
        <w:t xml:space="preserve">and label it </w:t>
      </w:r>
      <w:r w:rsidR="00870830" w:rsidRPr="001F59C0">
        <w:rPr>
          <w:rFonts w:ascii="Times New Roman" w:hAnsi="Times New Roman" w:cs="Times New Roman"/>
          <w:sz w:val="24"/>
          <w:szCs w:val="24"/>
        </w:rPr>
        <w:t>W’ where coordination is not necessary for modernization to occur and explain below why this is the case</w:t>
      </w:r>
      <w:r w:rsidR="001F59C0">
        <w:rPr>
          <w:rFonts w:ascii="Times New Roman" w:hAnsi="Times New Roman" w:cs="Times New Roman"/>
          <w:sz w:val="24"/>
          <w:szCs w:val="24"/>
        </w:rPr>
        <w:t xml:space="preserve"> in contrast to your answer to (b)</w:t>
      </w:r>
      <w:r w:rsidR="00870830" w:rsidRPr="001F59C0">
        <w:rPr>
          <w:rFonts w:ascii="Times New Roman" w:hAnsi="Times New Roman" w:cs="Times New Roman"/>
          <w:sz w:val="24"/>
          <w:szCs w:val="24"/>
        </w:rPr>
        <w:t>.</w:t>
      </w:r>
    </w:p>
    <w:p w:rsidR="001F59C0" w:rsidRDefault="001F59C0">
      <w:pPr>
        <w:rPr>
          <w:rFonts w:ascii="Times New Roman" w:eastAsia="Times New Roman" w:hAnsi="Times New Roman" w:cs="Times New Roman"/>
          <w:sz w:val="24"/>
          <w:szCs w:val="24"/>
        </w:rPr>
      </w:pPr>
      <w:r>
        <w:br w:type="page"/>
      </w:r>
    </w:p>
    <w:p w:rsidR="00870830" w:rsidRPr="001F59C0" w:rsidRDefault="00870830" w:rsidP="00870830">
      <w:pPr>
        <w:pStyle w:val="ListParagraph"/>
        <w:numPr>
          <w:ilvl w:val="0"/>
          <w:numId w:val="5"/>
        </w:numPr>
      </w:pPr>
      <w:r w:rsidRPr="001F59C0">
        <w:lastRenderedPageBreak/>
        <w:t xml:space="preserve">Below are a set of statements describing development strategies.  Identify by putting a check in the box whether a given statement is part of Williamson’s “Washington Consensus”, the World Bank’s “Poverty Reduction Strategy”, or neither of these.  </w:t>
      </w:r>
    </w:p>
    <w:tbl>
      <w:tblPr>
        <w:tblW w:w="10098" w:type="dxa"/>
        <w:tblBorders>
          <w:top w:val="nil"/>
          <w:left w:val="nil"/>
          <w:bottom w:val="nil"/>
          <w:right w:val="nil"/>
        </w:tblBorders>
        <w:tblLayout w:type="fixed"/>
        <w:tblLook w:val="0000" w:firstRow="0" w:lastRow="0" w:firstColumn="0" w:lastColumn="0" w:noHBand="0" w:noVBand="0"/>
      </w:tblPr>
      <w:tblGrid>
        <w:gridCol w:w="3888"/>
        <w:gridCol w:w="1980"/>
        <w:gridCol w:w="2160"/>
        <w:gridCol w:w="2070"/>
      </w:tblGrid>
      <w:tr w:rsidR="00870830" w:rsidTr="005E1FF5">
        <w:trPr>
          <w:trHeight w:val="247"/>
        </w:trPr>
        <w:tc>
          <w:tcPr>
            <w:tcW w:w="3888"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r w:rsidRPr="005E1FF5">
              <w:t>Williamson’s Washington Consensus</w:t>
            </w: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r w:rsidRPr="005E1FF5">
              <w:t>World Bank’s Poverty Reduction Strategy</w:t>
            </w: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r w:rsidRPr="005E1FF5">
              <w:t>Neither of these.</w:t>
            </w:r>
          </w:p>
        </w:tc>
      </w:tr>
      <w:tr w:rsidR="00870830" w:rsidTr="005E1FF5">
        <w:trPr>
          <w:trHeight w:val="320"/>
        </w:trPr>
        <w:tc>
          <w:tcPr>
            <w:tcW w:w="3888"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r w:rsidRPr="005E1FF5">
              <w:t xml:space="preserve">The strategy is partnership oriented – coordinating participation of bilateral, multilateral, NGO, government, and civil society institutions. </w:t>
            </w: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r w:rsidR="00870830" w:rsidTr="005E1FF5">
        <w:trPr>
          <w:trHeight w:val="205"/>
        </w:trPr>
        <w:tc>
          <w:tcPr>
            <w:tcW w:w="3888" w:type="dxa"/>
            <w:tcBorders>
              <w:top w:val="single" w:sz="4" w:space="0" w:color="auto"/>
              <w:left w:val="single" w:sz="4" w:space="0" w:color="auto"/>
              <w:bottom w:val="single" w:sz="4" w:space="0" w:color="auto"/>
              <w:right w:val="single" w:sz="4" w:space="0" w:color="auto"/>
            </w:tcBorders>
          </w:tcPr>
          <w:p w:rsidR="00870830" w:rsidRDefault="00870830">
            <w:pPr>
              <w:pStyle w:val="Default"/>
            </w:pPr>
            <w:r w:rsidRPr="005E1FF5">
              <w:t xml:space="preserve">The strategy includes tax reform that broadens the tax burden but lowers the taxation rates. </w:t>
            </w:r>
          </w:p>
          <w:p w:rsidR="005E1FF5" w:rsidRPr="005E1FF5" w:rsidRDefault="005E1FF5">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r w:rsidR="00870830" w:rsidTr="005E1FF5">
        <w:trPr>
          <w:trHeight w:val="204"/>
        </w:trPr>
        <w:tc>
          <w:tcPr>
            <w:tcW w:w="3888"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r w:rsidRPr="005E1FF5">
              <w:t xml:space="preserve">The strategy identifies integrated rural development as a means to realize the millennium development goals </w:t>
            </w: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r w:rsidR="00870830" w:rsidTr="005E1FF5">
        <w:trPr>
          <w:trHeight w:val="90"/>
        </w:trPr>
        <w:tc>
          <w:tcPr>
            <w:tcW w:w="3888" w:type="dxa"/>
            <w:tcBorders>
              <w:top w:val="single" w:sz="4" w:space="0" w:color="auto"/>
              <w:left w:val="single" w:sz="4" w:space="0" w:color="auto"/>
              <w:bottom w:val="single" w:sz="4" w:space="0" w:color="auto"/>
              <w:right w:val="single" w:sz="4" w:space="0" w:color="auto"/>
            </w:tcBorders>
          </w:tcPr>
          <w:p w:rsidR="00870830" w:rsidRDefault="00870830">
            <w:pPr>
              <w:pStyle w:val="Default"/>
            </w:pPr>
            <w:r w:rsidRPr="005E1FF5">
              <w:t xml:space="preserve">The strategy liberalizes foreign direct investment flows </w:t>
            </w:r>
          </w:p>
          <w:p w:rsidR="005E1FF5" w:rsidRDefault="005E1FF5">
            <w:pPr>
              <w:pStyle w:val="Default"/>
            </w:pPr>
          </w:p>
          <w:p w:rsidR="005E1FF5" w:rsidRPr="005E1FF5" w:rsidRDefault="005E1FF5">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r w:rsidR="00870830" w:rsidTr="005E1FF5">
        <w:trPr>
          <w:trHeight w:val="205"/>
        </w:trPr>
        <w:tc>
          <w:tcPr>
            <w:tcW w:w="3888"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r w:rsidRPr="005E1FF5">
              <w:t xml:space="preserve">The strategy promotes transformational development in reasonably stable developing countries. </w:t>
            </w: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r w:rsidR="00870830" w:rsidTr="005E1FF5">
        <w:trPr>
          <w:trHeight w:val="90"/>
        </w:trPr>
        <w:tc>
          <w:tcPr>
            <w:tcW w:w="3888" w:type="dxa"/>
            <w:tcBorders>
              <w:top w:val="single" w:sz="4" w:space="0" w:color="auto"/>
              <w:left w:val="single" w:sz="4" w:space="0" w:color="auto"/>
              <w:bottom w:val="single" w:sz="4" w:space="0" w:color="auto"/>
              <w:right w:val="single" w:sz="4" w:space="0" w:color="auto"/>
            </w:tcBorders>
          </w:tcPr>
          <w:p w:rsidR="00870830" w:rsidRDefault="005E1FF5">
            <w:pPr>
              <w:pStyle w:val="Default"/>
            </w:pPr>
            <w:r>
              <w:t>The strategy involves fiscal discipline, balanced budgets, and control over inflation.</w:t>
            </w:r>
          </w:p>
          <w:p w:rsidR="005E1FF5" w:rsidRPr="005E1FF5" w:rsidRDefault="005E1FF5">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r w:rsidR="00870830" w:rsidTr="005E1FF5">
        <w:trPr>
          <w:trHeight w:val="90"/>
        </w:trPr>
        <w:tc>
          <w:tcPr>
            <w:tcW w:w="3888" w:type="dxa"/>
            <w:tcBorders>
              <w:top w:val="single" w:sz="4" w:space="0" w:color="auto"/>
              <w:left w:val="single" w:sz="4" w:space="0" w:color="auto"/>
              <w:bottom w:val="single" w:sz="4" w:space="0" w:color="auto"/>
              <w:right w:val="single" w:sz="4" w:space="0" w:color="auto"/>
            </w:tcBorders>
          </w:tcPr>
          <w:p w:rsidR="00870830" w:rsidRDefault="00870830">
            <w:pPr>
              <w:pStyle w:val="Default"/>
            </w:pPr>
            <w:r w:rsidRPr="005E1FF5">
              <w:t xml:space="preserve">The strategy is country driven and participatory. </w:t>
            </w:r>
          </w:p>
          <w:p w:rsidR="005E1FF5" w:rsidRDefault="005E1FF5">
            <w:pPr>
              <w:pStyle w:val="Default"/>
            </w:pPr>
          </w:p>
          <w:p w:rsidR="005E1FF5" w:rsidRPr="005E1FF5" w:rsidRDefault="005E1FF5">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r w:rsidR="00870830" w:rsidTr="005E1FF5">
        <w:trPr>
          <w:trHeight w:val="319"/>
        </w:trPr>
        <w:tc>
          <w:tcPr>
            <w:tcW w:w="3888"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r w:rsidRPr="005E1FF5">
              <w:t xml:space="preserve">The strategy redirects public expenditure to fields with high economic return and the potential to improve income distribution </w:t>
            </w: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r w:rsidR="00870830" w:rsidTr="005E1FF5">
        <w:trPr>
          <w:trHeight w:val="205"/>
        </w:trPr>
        <w:tc>
          <w:tcPr>
            <w:tcW w:w="3888" w:type="dxa"/>
            <w:tcBorders>
              <w:top w:val="single" w:sz="4" w:space="0" w:color="auto"/>
              <w:left w:val="single" w:sz="4" w:space="0" w:color="auto"/>
              <w:bottom w:val="single" w:sz="4" w:space="0" w:color="auto"/>
              <w:right w:val="single" w:sz="4" w:space="0" w:color="auto"/>
            </w:tcBorders>
          </w:tcPr>
          <w:p w:rsidR="00870830" w:rsidRDefault="00870830">
            <w:pPr>
              <w:pStyle w:val="Default"/>
            </w:pPr>
            <w:r w:rsidRPr="005E1FF5">
              <w:t xml:space="preserve">The strategy is comprehensive and results-oriented, and focuses on outcomes that will benefit the poor. </w:t>
            </w:r>
          </w:p>
          <w:p w:rsidR="005E1FF5" w:rsidRPr="005E1FF5" w:rsidRDefault="005E1FF5">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r w:rsidR="00870830" w:rsidTr="005E1FF5">
        <w:trPr>
          <w:trHeight w:val="90"/>
        </w:trPr>
        <w:tc>
          <w:tcPr>
            <w:tcW w:w="3888"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r w:rsidRPr="005E1FF5">
              <w:t xml:space="preserve">The strategy addresses global transnational concerns such as climate change and disease transmission. </w:t>
            </w:r>
          </w:p>
        </w:tc>
        <w:tc>
          <w:tcPr>
            <w:tcW w:w="198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5E1FF5" w:rsidRDefault="00870830">
            <w:pPr>
              <w:pStyle w:val="Default"/>
            </w:pPr>
          </w:p>
        </w:tc>
      </w:tr>
    </w:tbl>
    <w:p w:rsidR="00870830" w:rsidRPr="005E1FF5" w:rsidRDefault="00870830" w:rsidP="005E1FF5">
      <w:pPr>
        <w:pStyle w:val="ListParagraph"/>
        <w:numPr>
          <w:ilvl w:val="0"/>
          <w:numId w:val="5"/>
        </w:numPr>
        <w:rPr>
          <w:rFonts w:asciiTheme="minorHAnsi" w:hAnsiTheme="minorHAnsi" w:cstheme="minorBidi"/>
          <w:sz w:val="22"/>
          <w:szCs w:val="22"/>
        </w:rPr>
      </w:pPr>
      <w:r w:rsidRPr="00870830">
        <w:lastRenderedPageBreak/>
        <w:t>New Growth Theory.</w:t>
      </w:r>
    </w:p>
    <w:p w:rsidR="00870830" w:rsidRDefault="00870830" w:rsidP="00870830">
      <w:pPr>
        <w:pStyle w:val="ListParagraph"/>
        <w:numPr>
          <w:ilvl w:val="1"/>
          <w:numId w:val="6"/>
        </w:numPr>
      </w:pPr>
      <w:r>
        <w:t xml:space="preserve">What are forward and backward linkages, and </w:t>
      </w:r>
      <w:r w:rsidR="001F59C0">
        <w:t>how can they explain why 2% of the US land area produces 50% of GDP</w:t>
      </w:r>
      <w:r>
        <w:t>?</w:t>
      </w:r>
    </w:p>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Pr>
        <w:pStyle w:val="ListParagraph"/>
        <w:numPr>
          <w:ilvl w:val="1"/>
          <w:numId w:val="6"/>
        </w:numPr>
      </w:pPr>
      <w:r>
        <w:t>What are spillovers, and what role do they play in the Romer model?</w:t>
      </w: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pPr>
    </w:p>
    <w:p w:rsidR="00870830" w:rsidRDefault="00870830" w:rsidP="00870830">
      <w:pPr>
        <w:pStyle w:val="ListParagraph"/>
        <w:numPr>
          <w:ilvl w:val="1"/>
          <w:numId w:val="6"/>
        </w:numPr>
      </w:pPr>
      <w:r>
        <w:t xml:space="preserve">New Growth Theory is sometimes called Endogenous growth theory.  What does Endogenous growth theory endogenize?  </w:t>
      </w:r>
    </w:p>
    <w:p w:rsidR="00870830" w:rsidRDefault="00870830">
      <w:r>
        <w:br w:type="page"/>
      </w:r>
    </w:p>
    <w:p w:rsidR="00870830" w:rsidRDefault="00870830" w:rsidP="00870830">
      <w:pPr>
        <w:pStyle w:val="ListParagraph"/>
        <w:numPr>
          <w:ilvl w:val="0"/>
          <w:numId w:val="5"/>
        </w:numPr>
      </w:pPr>
      <w:r>
        <w:lastRenderedPageBreak/>
        <w:t>O-Ring Theory.</w:t>
      </w:r>
    </w:p>
    <w:p w:rsidR="00870830" w:rsidRDefault="00870830" w:rsidP="00870830">
      <w:pPr>
        <w:pStyle w:val="ListParagraph"/>
        <w:numPr>
          <w:ilvl w:val="1"/>
          <w:numId w:val="5"/>
        </w:numPr>
      </w:pPr>
      <w:r>
        <w:t xml:space="preserve">What is positive </w:t>
      </w:r>
      <w:proofErr w:type="spellStart"/>
      <w:r>
        <w:t>assortive</w:t>
      </w:r>
      <w:proofErr w:type="spellEnd"/>
      <w:r>
        <w:t xml:space="preserve"> matching</w:t>
      </w:r>
      <w:r w:rsidR="005E1FF5">
        <w:t xml:space="preserve"> and what role does it play in the O-ring theory</w:t>
      </w:r>
      <w:r>
        <w:t>?</w:t>
      </w:r>
    </w:p>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Pr>
        <w:pStyle w:val="ListParagraph"/>
        <w:numPr>
          <w:ilvl w:val="1"/>
          <w:numId w:val="5"/>
        </w:numPr>
      </w:pPr>
      <w:r>
        <w:t>Is the O-Ring theory a model to explain convergence or divergence?  Why?</w:t>
      </w:r>
    </w:p>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Pr>
        <w:pStyle w:val="ListParagraph"/>
        <w:numPr>
          <w:ilvl w:val="1"/>
          <w:numId w:val="5"/>
        </w:numPr>
      </w:pPr>
      <w:r w:rsidRPr="00962416">
        <w:rPr>
          <w:position w:val="-14"/>
        </w:rPr>
        <w:object w:dxaOrig="1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9" o:title=""/>
          </v:shape>
          <o:OLEObject Type="Embed" ProgID="Equation.3" ShapeID="_x0000_i1025" DrawAspect="Content" ObjectID="_1423293331" r:id="rId10"/>
        </w:object>
      </w:r>
      <w:r w:rsidR="005E1FF5">
        <w:t xml:space="preserve"> </w:t>
      </w:r>
      <w:proofErr w:type="gramStart"/>
      <w:r w:rsidR="005E1FF5">
        <w:t>in</w:t>
      </w:r>
      <w:proofErr w:type="gramEnd"/>
      <w:r w:rsidR="005E1FF5">
        <w:t xml:space="preserve"> the O-Ring model. W</w:t>
      </w:r>
      <w:r>
        <w:t xml:space="preserve">hat is the spillover benefit to worker j of worker i </w:t>
      </w:r>
      <w:r w:rsidR="005E1FF5">
        <w:t>spending her own money (worker i’s money) to improve worker i’s</w:t>
      </w:r>
      <w:r>
        <w:t xml:space="preserve"> quality if workers are paid the value of their marginal product?</w:t>
      </w:r>
    </w:p>
    <w:p w:rsidR="00870830" w:rsidRDefault="00870830" w:rsidP="00870830">
      <w:pPr>
        <w:pStyle w:val="ListParagraph"/>
      </w:pPr>
      <w:r>
        <w:br w:type="page"/>
      </w:r>
    </w:p>
    <w:p w:rsidR="00870830" w:rsidRDefault="00870830" w:rsidP="00870830">
      <w:pPr>
        <w:pStyle w:val="ListParagraph"/>
        <w:numPr>
          <w:ilvl w:val="0"/>
          <w:numId w:val="5"/>
        </w:numPr>
      </w:pPr>
      <w:r>
        <w:lastRenderedPageBreak/>
        <w:t>Illustrate the following:</w:t>
      </w:r>
    </w:p>
    <w:p w:rsidR="00870830" w:rsidRDefault="00870830" w:rsidP="00870830">
      <w:pPr>
        <w:pStyle w:val="ListParagraph"/>
        <w:numPr>
          <w:ilvl w:val="1"/>
          <w:numId w:val="5"/>
        </w:numPr>
      </w:pPr>
      <w:r>
        <w:t>Place a tariff on the imported commodity such that the selling price with the tariff is higher than the international price but less than the domestic price if no imports are allowed.  Show the level of domestic supply, the level of international supply, and the tax revenue generated.  Y axis is price, x axis is quantity.</w:t>
      </w:r>
    </w:p>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r>
        <w:t xml:space="preserve"> </w:t>
      </w:r>
    </w:p>
    <w:p w:rsidR="00870830" w:rsidRDefault="00870830" w:rsidP="00870830">
      <w:pPr>
        <w:pStyle w:val="ListParagraph"/>
        <w:numPr>
          <w:ilvl w:val="1"/>
          <w:numId w:val="5"/>
        </w:numPr>
      </w:pPr>
      <w:r>
        <w:t>Such a tariff is proposed as a way to develop a domestic manufacturing industry that wi</w:t>
      </w:r>
      <w:r w:rsidR="005E1FF5">
        <w:t>ll become more efficient as the domestic industry</w:t>
      </w:r>
      <w:r>
        <w:t xml:space="preserve"> ‘learn</w:t>
      </w:r>
      <w:r w:rsidR="005E1FF5">
        <w:t>s</w:t>
      </w:r>
      <w:r>
        <w:t xml:space="preserve"> by doing’.  What would ‘learning by doing’ look like on your graph to (a)</w:t>
      </w:r>
      <w:r w:rsidR="001F59C0">
        <w:t xml:space="preserve"> – what part of the graph would change over time?</w:t>
      </w:r>
      <w:r>
        <w:t xml:space="preserve">  You can verbally describe the change or draw the change.</w:t>
      </w:r>
    </w:p>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 w:rsidR="00870830" w:rsidRDefault="00870830" w:rsidP="00870830">
      <w:pPr>
        <w:pStyle w:val="ListParagraph"/>
        <w:numPr>
          <w:ilvl w:val="1"/>
          <w:numId w:val="5"/>
        </w:numPr>
      </w:pPr>
      <w:r>
        <w:t>Explain how the promise by government to remove the tariff after 10 years and the industry has impro</w:t>
      </w:r>
      <w:r w:rsidR="001F59C0">
        <w:t>ved efficiency in the sense of your answer to (b) potentially illustrates</w:t>
      </w:r>
      <w:r>
        <w:t xml:space="preserve"> “the commitment problem”. </w:t>
      </w:r>
    </w:p>
    <w:p w:rsidR="00870830" w:rsidRDefault="00870830">
      <w:r>
        <w:br w:type="page"/>
      </w:r>
    </w:p>
    <w:p w:rsidR="00BC56D9" w:rsidRDefault="001F59C0" w:rsidP="00BC56D9">
      <w:pPr>
        <w:pStyle w:val="ListParagraph"/>
        <w:numPr>
          <w:ilvl w:val="0"/>
          <w:numId w:val="5"/>
        </w:numPr>
      </w:pPr>
      <w:r>
        <w:lastRenderedPageBreak/>
        <w:t xml:space="preserve">Republic of Baobabs (ROB) </w:t>
      </w:r>
      <w:r w:rsidR="00870830">
        <w:t>workers c</w:t>
      </w:r>
      <w:r>
        <w:t>an produce 5 units of cowpea and 10 units of fresh fish</w:t>
      </w:r>
      <w:r w:rsidR="00870830">
        <w:t xml:space="preserve"> per unit of la</w:t>
      </w:r>
      <w:r>
        <w:t xml:space="preserve">bor.  Neighboring Commonwealth of </w:t>
      </w:r>
      <w:proofErr w:type="spellStart"/>
      <w:r>
        <w:t>Dunescapes</w:t>
      </w:r>
      <w:proofErr w:type="spellEnd"/>
      <w:r>
        <w:t xml:space="preserve"> (COD)</w:t>
      </w:r>
      <w:r w:rsidR="00870830">
        <w:t xml:space="preserve"> worke</w:t>
      </w:r>
      <w:r>
        <w:t xml:space="preserve">rs can </w:t>
      </w:r>
      <w:r w:rsidR="008D1B38">
        <w:t>produce 10 units of cowpea and12</w:t>
      </w:r>
      <w:r>
        <w:t xml:space="preserve"> units of fresh fish </w:t>
      </w:r>
      <w:r w:rsidR="00870830">
        <w:t xml:space="preserve">per unit of labor.  </w:t>
      </w:r>
    </w:p>
    <w:p w:rsidR="008D1B38" w:rsidRDefault="008D1B38" w:rsidP="008D1B38">
      <w:pPr>
        <w:pStyle w:val="ListParagraph"/>
      </w:pPr>
    </w:p>
    <w:p w:rsidR="00870830" w:rsidRDefault="00870830" w:rsidP="00BC56D9">
      <w:pPr>
        <w:pStyle w:val="ListParagraph"/>
        <w:numPr>
          <w:ilvl w:val="1"/>
          <w:numId w:val="5"/>
        </w:numPr>
      </w:pPr>
      <w:r>
        <w:t>If ther</w:t>
      </w:r>
      <w:r w:rsidR="00BC56D9">
        <w:t>e are 100 laborers in ROB and 100 in COD</w:t>
      </w:r>
      <w:r>
        <w:t>, describe the level of production of each commodity in each country in autarky if each country divides up their labor force with half of the work force allocated to each commodity.</w:t>
      </w:r>
    </w:p>
    <w:tbl>
      <w:tblPr>
        <w:tblStyle w:val="TableGrid"/>
        <w:tblW w:w="0" w:type="auto"/>
        <w:tblLook w:val="01E0" w:firstRow="1" w:lastRow="1" w:firstColumn="1" w:lastColumn="1" w:noHBand="0" w:noVBand="0"/>
      </w:tblPr>
      <w:tblGrid>
        <w:gridCol w:w="2952"/>
        <w:gridCol w:w="2952"/>
        <w:gridCol w:w="2952"/>
      </w:tblGrid>
      <w:tr w:rsidR="00870830" w:rsidTr="00F26714">
        <w:tc>
          <w:tcPr>
            <w:tcW w:w="2952" w:type="dxa"/>
          </w:tcPr>
          <w:p w:rsidR="00870830" w:rsidRDefault="00870830" w:rsidP="00F26714"/>
        </w:tc>
        <w:tc>
          <w:tcPr>
            <w:tcW w:w="2952" w:type="dxa"/>
          </w:tcPr>
          <w:p w:rsidR="00870830" w:rsidRDefault="00963A0F" w:rsidP="00F26714">
            <w:r>
              <w:t>Cowpea</w:t>
            </w:r>
          </w:p>
        </w:tc>
        <w:tc>
          <w:tcPr>
            <w:tcW w:w="2952" w:type="dxa"/>
          </w:tcPr>
          <w:p w:rsidR="00870830" w:rsidRDefault="00963A0F" w:rsidP="00F26714">
            <w:r>
              <w:t>Fresh Fish</w:t>
            </w:r>
          </w:p>
        </w:tc>
      </w:tr>
      <w:tr w:rsidR="00870830" w:rsidTr="00F26714">
        <w:tc>
          <w:tcPr>
            <w:tcW w:w="2952" w:type="dxa"/>
          </w:tcPr>
          <w:p w:rsidR="00870830" w:rsidRDefault="00963A0F" w:rsidP="00F26714">
            <w:r>
              <w:t>ROB</w:t>
            </w:r>
          </w:p>
        </w:tc>
        <w:tc>
          <w:tcPr>
            <w:tcW w:w="2952" w:type="dxa"/>
          </w:tcPr>
          <w:p w:rsidR="00870830" w:rsidRDefault="00870830" w:rsidP="00F26714"/>
          <w:p w:rsidR="008D1B38" w:rsidRDefault="008D1B38" w:rsidP="00F26714"/>
        </w:tc>
        <w:tc>
          <w:tcPr>
            <w:tcW w:w="2952" w:type="dxa"/>
          </w:tcPr>
          <w:p w:rsidR="00870830" w:rsidRDefault="00870830" w:rsidP="00F26714"/>
        </w:tc>
      </w:tr>
      <w:tr w:rsidR="00870830" w:rsidTr="00F26714">
        <w:tc>
          <w:tcPr>
            <w:tcW w:w="2952" w:type="dxa"/>
          </w:tcPr>
          <w:p w:rsidR="00870830" w:rsidRDefault="00963A0F" w:rsidP="00F26714">
            <w:r>
              <w:t>COD</w:t>
            </w:r>
          </w:p>
        </w:tc>
        <w:tc>
          <w:tcPr>
            <w:tcW w:w="2952" w:type="dxa"/>
          </w:tcPr>
          <w:p w:rsidR="00870830" w:rsidRDefault="00870830" w:rsidP="00F26714"/>
          <w:p w:rsidR="008D1B38" w:rsidRDefault="008D1B38" w:rsidP="00F26714"/>
        </w:tc>
        <w:tc>
          <w:tcPr>
            <w:tcW w:w="2952" w:type="dxa"/>
          </w:tcPr>
          <w:p w:rsidR="00870830" w:rsidRDefault="00870830" w:rsidP="00F26714"/>
        </w:tc>
      </w:tr>
      <w:tr w:rsidR="00870830" w:rsidTr="00F26714">
        <w:tc>
          <w:tcPr>
            <w:tcW w:w="2952" w:type="dxa"/>
          </w:tcPr>
          <w:p w:rsidR="00870830" w:rsidRDefault="00870830" w:rsidP="00F26714">
            <w:r>
              <w:t>TOTAL</w:t>
            </w:r>
          </w:p>
        </w:tc>
        <w:tc>
          <w:tcPr>
            <w:tcW w:w="2952" w:type="dxa"/>
          </w:tcPr>
          <w:p w:rsidR="00870830" w:rsidRDefault="00870830" w:rsidP="00F26714"/>
        </w:tc>
        <w:tc>
          <w:tcPr>
            <w:tcW w:w="2952" w:type="dxa"/>
          </w:tcPr>
          <w:p w:rsidR="00870830" w:rsidRDefault="00870830" w:rsidP="00F26714"/>
        </w:tc>
      </w:tr>
    </w:tbl>
    <w:p w:rsidR="008D1B38" w:rsidRDefault="008D1B38" w:rsidP="00870830"/>
    <w:p w:rsidR="008D1B38" w:rsidRDefault="008D1B38" w:rsidP="008D1B38">
      <w:pPr>
        <w:pStyle w:val="ListParagraph"/>
        <w:numPr>
          <w:ilvl w:val="0"/>
          <w:numId w:val="12"/>
        </w:numPr>
      </w:pPr>
      <w:r>
        <w:t>Identify the product in which each country has a comparative advantage and explain why this is the product in which they have a comparative advantage.</w:t>
      </w:r>
    </w:p>
    <w:p w:rsidR="008D1B38" w:rsidRDefault="008D1B38" w:rsidP="00870830"/>
    <w:p w:rsidR="008D1B38" w:rsidRDefault="008D1B38" w:rsidP="00870830"/>
    <w:p w:rsidR="008D1B38" w:rsidRDefault="008D1B38" w:rsidP="00870830"/>
    <w:p w:rsidR="00BC56D9" w:rsidRDefault="00BC56D9" w:rsidP="008D1B38">
      <w:pPr>
        <w:pStyle w:val="ListParagraph"/>
        <w:numPr>
          <w:ilvl w:val="0"/>
          <w:numId w:val="12"/>
        </w:numPr>
      </w:pPr>
      <w:r>
        <w:t>Move 20 ROB workers to the commodity in which they have comparative advantage and 12 COD workers to the commodity in which they have comparative advantage.  What levels of each commodity are now produced in each country?</w:t>
      </w:r>
    </w:p>
    <w:tbl>
      <w:tblPr>
        <w:tblStyle w:val="TableGrid"/>
        <w:tblW w:w="0" w:type="auto"/>
        <w:tblLook w:val="01E0" w:firstRow="1" w:lastRow="1" w:firstColumn="1" w:lastColumn="1" w:noHBand="0" w:noVBand="0"/>
      </w:tblPr>
      <w:tblGrid>
        <w:gridCol w:w="2952"/>
        <w:gridCol w:w="2952"/>
        <w:gridCol w:w="2952"/>
      </w:tblGrid>
      <w:tr w:rsidR="00BC56D9" w:rsidTr="00522EEC">
        <w:tc>
          <w:tcPr>
            <w:tcW w:w="2952" w:type="dxa"/>
          </w:tcPr>
          <w:p w:rsidR="00BC56D9" w:rsidRDefault="00BC56D9" w:rsidP="00522EEC"/>
        </w:tc>
        <w:tc>
          <w:tcPr>
            <w:tcW w:w="2952" w:type="dxa"/>
          </w:tcPr>
          <w:p w:rsidR="00BC56D9" w:rsidRDefault="00BC56D9" w:rsidP="00522EEC">
            <w:r>
              <w:t>Cowpea</w:t>
            </w:r>
          </w:p>
        </w:tc>
        <w:tc>
          <w:tcPr>
            <w:tcW w:w="2952" w:type="dxa"/>
          </w:tcPr>
          <w:p w:rsidR="00BC56D9" w:rsidRDefault="00BC56D9" w:rsidP="00522EEC">
            <w:r>
              <w:t>Fresh Fish</w:t>
            </w:r>
          </w:p>
        </w:tc>
      </w:tr>
      <w:tr w:rsidR="00BC56D9" w:rsidTr="00522EEC">
        <w:tc>
          <w:tcPr>
            <w:tcW w:w="2952" w:type="dxa"/>
          </w:tcPr>
          <w:p w:rsidR="00BC56D9" w:rsidRDefault="00BC56D9" w:rsidP="00522EEC">
            <w:r>
              <w:t>ROB</w:t>
            </w:r>
          </w:p>
        </w:tc>
        <w:tc>
          <w:tcPr>
            <w:tcW w:w="2952" w:type="dxa"/>
          </w:tcPr>
          <w:p w:rsidR="00BC56D9" w:rsidRDefault="00BC56D9" w:rsidP="00522EEC"/>
          <w:p w:rsidR="008D1B38" w:rsidRDefault="008D1B38" w:rsidP="00522EEC"/>
        </w:tc>
        <w:tc>
          <w:tcPr>
            <w:tcW w:w="2952" w:type="dxa"/>
          </w:tcPr>
          <w:p w:rsidR="00BC56D9" w:rsidRDefault="00BC56D9" w:rsidP="00522EEC"/>
        </w:tc>
      </w:tr>
      <w:tr w:rsidR="00BC56D9" w:rsidTr="00522EEC">
        <w:tc>
          <w:tcPr>
            <w:tcW w:w="2952" w:type="dxa"/>
          </w:tcPr>
          <w:p w:rsidR="00BC56D9" w:rsidRDefault="00BC56D9" w:rsidP="00522EEC">
            <w:r>
              <w:t>COD</w:t>
            </w:r>
          </w:p>
        </w:tc>
        <w:tc>
          <w:tcPr>
            <w:tcW w:w="2952" w:type="dxa"/>
          </w:tcPr>
          <w:p w:rsidR="00BC56D9" w:rsidRDefault="00BC56D9" w:rsidP="00522EEC"/>
          <w:p w:rsidR="008D1B38" w:rsidRDefault="008D1B38" w:rsidP="00522EEC"/>
        </w:tc>
        <w:tc>
          <w:tcPr>
            <w:tcW w:w="2952" w:type="dxa"/>
          </w:tcPr>
          <w:p w:rsidR="00BC56D9" w:rsidRDefault="00BC56D9" w:rsidP="00522EEC"/>
        </w:tc>
      </w:tr>
      <w:tr w:rsidR="00BC56D9" w:rsidTr="00522EEC">
        <w:tc>
          <w:tcPr>
            <w:tcW w:w="2952" w:type="dxa"/>
          </w:tcPr>
          <w:p w:rsidR="00BC56D9" w:rsidRDefault="00BC56D9" w:rsidP="00522EEC">
            <w:r>
              <w:t>TOTAL</w:t>
            </w:r>
          </w:p>
        </w:tc>
        <w:tc>
          <w:tcPr>
            <w:tcW w:w="2952" w:type="dxa"/>
          </w:tcPr>
          <w:p w:rsidR="00BC56D9" w:rsidRDefault="00BC56D9" w:rsidP="00522EEC"/>
        </w:tc>
        <w:tc>
          <w:tcPr>
            <w:tcW w:w="2952" w:type="dxa"/>
          </w:tcPr>
          <w:p w:rsidR="00BC56D9" w:rsidRDefault="00BC56D9" w:rsidP="00522EEC"/>
        </w:tc>
      </w:tr>
    </w:tbl>
    <w:p w:rsidR="00BC56D9" w:rsidRDefault="00BC56D9" w:rsidP="00BC56D9"/>
    <w:p w:rsidR="00BC56D9" w:rsidRDefault="00BC56D9" w:rsidP="008D1B38">
      <w:pPr>
        <w:pStyle w:val="ListParagraph"/>
        <w:numPr>
          <w:ilvl w:val="0"/>
          <w:numId w:val="12"/>
        </w:numPr>
      </w:pPr>
      <w:r>
        <w:t>Trade 105 units of cowpeas for 160 units of fresh fish.  How does the amount of each commodity in each country now compare to what you found in (b)?</w:t>
      </w:r>
      <w:r w:rsidR="008D1B38">
        <w:t xml:space="preserve">  Why did this happen?</w:t>
      </w:r>
    </w:p>
    <w:tbl>
      <w:tblPr>
        <w:tblStyle w:val="TableGrid"/>
        <w:tblW w:w="0" w:type="auto"/>
        <w:tblLook w:val="01E0" w:firstRow="1" w:lastRow="1" w:firstColumn="1" w:lastColumn="1" w:noHBand="0" w:noVBand="0"/>
      </w:tblPr>
      <w:tblGrid>
        <w:gridCol w:w="2952"/>
        <w:gridCol w:w="2952"/>
        <w:gridCol w:w="2952"/>
      </w:tblGrid>
      <w:tr w:rsidR="00BC56D9" w:rsidTr="00522EEC">
        <w:tc>
          <w:tcPr>
            <w:tcW w:w="2952" w:type="dxa"/>
          </w:tcPr>
          <w:p w:rsidR="00BC56D9" w:rsidRDefault="00BC56D9" w:rsidP="00522EEC"/>
        </w:tc>
        <w:tc>
          <w:tcPr>
            <w:tcW w:w="2952" w:type="dxa"/>
          </w:tcPr>
          <w:p w:rsidR="00BC56D9" w:rsidRDefault="00BC56D9" w:rsidP="00522EEC">
            <w:r>
              <w:t>Cowpea</w:t>
            </w:r>
          </w:p>
        </w:tc>
        <w:tc>
          <w:tcPr>
            <w:tcW w:w="2952" w:type="dxa"/>
          </w:tcPr>
          <w:p w:rsidR="00BC56D9" w:rsidRDefault="00BC56D9" w:rsidP="00522EEC">
            <w:r>
              <w:t>Fresh Fish</w:t>
            </w:r>
          </w:p>
        </w:tc>
      </w:tr>
      <w:tr w:rsidR="00BC56D9" w:rsidTr="00522EEC">
        <w:tc>
          <w:tcPr>
            <w:tcW w:w="2952" w:type="dxa"/>
          </w:tcPr>
          <w:p w:rsidR="00BC56D9" w:rsidRDefault="00BC56D9" w:rsidP="00522EEC">
            <w:r>
              <w:t>ROB</w:t>
            </w:r>
          </w:p>
        </w:tc>
        <w:tc>
          <w:tcPr>
            <w:tcW w:w="2952" w:type="dxa"/>
          </w:tcPr>
          <w:p w:rsidR="00BC56D9" w:rsidRDefault="00BC56D9" w:rsidP="00522EEC"/>
          <w:p w:rsidR="008D1B38" w:rsidRDefault="008D1B38" w:rsidP="00522EEC"/>
        </w:tc>
        <w:tc>
          <w:tcPr>
            <w:tcW w:w="2952" w:type="dxa"/>
          </w:tcPr>
          <w:p w:rsidR="00BC56D9" w:rsidRDefault="00BC56D9" w:rsidP="00522EEC"/>
        </w:tc>
      </w:tr>
      <w:tr w:rsidR="00BC56D9" w:rsidTr="00522EEC">
        <w:tc>
          <w:tcPr>
            <w:tcW w:w="2952" w:type="dxa"/>
          </w:tcPr>
          <w:p w:rsidR="00BC56D9" w:rsidRDefault="00BC56D9" w:rsidP="00522EEC">
            <w:r>
              <w:t>COD</w:t>
            </w:r>
          </w:p>
        </w:tc>
        <w:tc>
          <w:tcPr>
            <w:tcW w:w="2952" w:type="dxa"/>
          </w:tcPr>
          <w:p w:rsidR="00BC56D9" w:rsidRDefault="00BC56D9" w:rsidP="00522EEC"/>
          <w:p w:rsidR="008D1B38" w:rsidRDefault="008D1B38" w:rsidP="00522EEC"/>
        </w:tc>
        <w:tc>
          <w:tcPr>
            <w:tcW w:w="2952" w:type="dxa"/>
          </w:tcPr>
          <w:p w:rsidR="00BC56D9" w:rsidRDefault="00BC56D9" w:rsidP="00522EEC"/>
        </w:tc>
      </w:tr>
      <w:tr w:rsidR="00BC56D9" w:rsidTr="00522EEC">
        <w:tc>
          <w:tcPr>
            <w:tcW w:w="2952" w:type="dxa"/>
          </w:tcPr>
          <w:p w:rsidR="00BC56D9" w:rsidRDefault="00BC56D9" w:rsidP="00522EEC">
            <w:r>
              <w:t>TOTAL</w:t>
            </w:r>
          </w:p>
        </w:tc>
        <w:tc>
          <w:tcPr>
            <w:tcW w:w="2952" w:type="dxa"/>
          </w:tcPr>
          <w:p w:rsidR="00BC56D9" w:rsidRDefault="00BC56D9" w:rsidP="00522EEC"/>
        </w:tc>
        <w:tc>
          <w:tcPr>
            <w:tcW w:w="2952" w:type="dxa"/>
          </w:tcPr>
          <w:p w:rsidR="00BC56D9" w:rsidRDefault="00BC56D9" w:rsidP="00522EEC"/>
        </w:tc>
      </w:tr>
    </w:tbl>
    <w:p w:rsidR="00BC56D9" w:rsidRDefault="00BC56D9">
      <w:pPr>
        <w:rPr>
          <w:rFonts w:ascii="Times New Roman" w:eastAsia="Times New Roman" w:hAnsi="Times New Roman" w:cs="Times New Roman"/>
          <w:sz w:val="24"/>
          <w:szCs w:val="24"/>
        </w:rPr>
      </w:pPr>
    </w:p>
    <w:p w:rsidR="00BC56D9" w:rsidRDefault="00BC56D9">
      <w:pPr>
        <w:rPr>
          <w:rFonts w:ascii="Times New Roman" w:eastAsia="Times New Roman" w:hAnsi="Times New Roman" w:cs="Times New Roman"/>
          <w:sz w:val="24"/>
          <w:szCs w:val="24"/>
        </w:rPr>
      </w:pPr>
      <w:r>
        <w:br w:type="page"/>
      </w:r>
    </w:p>
    <w:p w:rsidR="00870830" w:rsidRDefault="00870830" w:rsidP="00870830">
      <w:pPr>
        <w:pStyle w:val="ListParagraph"/>
        <w:numPr>
          <w:ilvl w:val="0"/>
          <w:numId w:val="5"/>
        </w:numPr>
      </w:pPr>
      <w:r>
        <w:lastRenderedPageBreak/>
        <w:t>Consider the following set of figures taken from the textbook and answer the questions below.</w:t>
      </w:r>
    </w:p>
    <w:p w:rsidR="00870830" w:rsidRDefault="00870830" w:rsidP="00870830">
      <w:r>
        <w:rPr>
          <w:noProof/>
        </w:rPr>
        <w:drawing>
          <wp:inline distT="0" distB="0" distL="0" distR="0" wp14:anchorId="123D2E86" wp14:editId="502E758A">
            <wp:extent cx="5191125" cy="445473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4454731"/>
                    </a:xfrm>
                    <a:prstGeom prst="rect">
                      <a:avLst/>
                    </a:prstGeom>
                    <a:noFill/>
                    <a:ln>
                      <a:noFill/>
                    </a:ln>
                  </pic:spPr>
                </pic:pic>
              </a:graphicData>
            </a:graphic>
          </wp:inline>
        </w:drawing>
      </w:r>
    </w:p>
    <w:p w:rsidR="00870830" w:rsidRDefault="005E1FF5" w:rsidP="00870830">
      <w:pPr>
        <w:pStyle w:val="ListParagraph"/>
        <w:numPr>
          <w:ilvl w:val="0"/>
          <w:numId w:val="9"/>
        </w:numPr>
      </w:pPr>
      <w:r>
        <w:t>What is the name of this model and w</w:t>
      </w:r>
      <w:r w:rsidR="00870830">
        <w:t>hat qualitative</w:t>
      </w:r>
      <w:r>
        <w:t xml:space="preserve"> / structural</w:t>
      </w:r>
      <w:r w:rsidR="00870830">
        <w:t xml:space="preserve"> change in the economy of a country is this model designed to describe?</w:t>
      </w:r>
    </w:p>
    <w:p w:rsidR="00870830" w:rsidRDefault="00870830" w:rsidP="00870830">
      <w:pPr>
        <w:pStyle w:val="ListParagraph"/>
      </w:pPr>
    </w:p>
    <w:p w:rsidR="00870830" w:rsidRDefault="00870830" w:rsidP="00870830">
      <w:pPr>
        <w:pStyle w:val="ListParagraph"/>
      </w:pPr>
    </w:p>
    <w:p w:rsidR="005E1FF5" w:rsidRDefault="005E1FF5" w:rsidP="00870830">
      <w:pPr>
        <w:pStyle w:val="ListParagraph"/>
      </w:pPr>
    </w:p>
    <w:p w:rsidR="00870830" w:rsidRDefault="00870830" w:rsidP="00870830">
      <w:pPr>
        <w:pStyle w:val="ListParagraph"/>
      </w:pPr>
    </w:p>
    <w:p w:rsidR="00870830" w:rsidRDefault="00870830" w:rsidP="00870830">
      <w:pPr>
        <w:pStyle w:val="ListParagraph"/>
      </w:pPr>
    </w:p>
    <w:p w:rsidR="005E1FF5" w:rsidRDefault="005E1FF5" w:rsidP="00870830">
      <w:pPr>
        <w:pStyle w:val="ListParagraph"/>
      </w:pPr>
    </w:p>
    <w:p w:rsidR="00870830" w:rsidRDefault="00870830" w:rsidP="00870830">
      <w:pPr>
        <w:pStyle w:val="ListParagraph"/>
      </w:pPr>
    </w:p>
    <w:p w:rsidR="00870830" w:rsidRDefault="00870830" w:rsidP="00870830">
      <w:pPr>
        <w:pStyle w:val="ListParagraph"/>
        <w:numPr>
          <w:ilvl w:val="0"/>
          <w:numId w:val="9"/>
        </w:numPr>
      </w:pPr>
      <w:r>
        <w:t>Where specifically does the money come from to invest such that the capital stock increases from K</w:t>
      </w:r>
      <w:r>
        <w:rPr>
          <w:vertAlign w:val="subscript"/>
        </w:rPr>
        <w:t>M1</w:t>
      </w:r>
      <w:r>
        <w:t xml:space="preserve"> to K</w:t>
      </w:r>
      <w:r>
        <w:rPr>
          <w:vertAlign w:val="subscript"/>
        </w:rPr>
        <w:t>M2</w:t>
      </w:r>
      <w:r>
        <w:t>?  Shade in the area and describe why this area is profit.</w:t>
      </w:r>
    </w:p>
    <w:p w:rsidR="00870830" w:rsidRDefault="00870830" w:rsidP="00870830"/>
    <w:p w:rsidR="00870830" w:rsidRDefault="00870830" w:rsidP="00870830"/>
    <w:p w:rsidR="00870830" w:rsidRDefault="00870830" w:rsidP="00870830"/>
    <w:p w:rsidR="005E1FF5" w:rsidRDefault="005E1FF5">
      <w:pPr>
        <w:rPr>
          <w:rFonts w:ascii="Times New Roman" w:eastAsia="Times New Roman" w:hAnsi="Times New Roman" w:cs="Times New Roman"/>
          <w:sz w:val="24"/>
          <w:szCs w:val="24"/>
        </w:rPr>
      </w:pPr>
      <w:r>
        <w:br w:type="page"/>
      </w:r>
    </w:p>
    <w:p w:rsidR="00870830" w:rsidRDefault="00870830" w:rsidP="00870830">
      <w:pPr>
        <w:pStyle w:val="ListParagraph"/>
      </w:pPr>
      <w:r>
        <w:lastRenderedPageBreak/>
        <w:t>Work Page</w:t>
      </w:r>
    </w:p>
    <w:p w:rsidR="00870830" w:rsidRDefault="00870830" w:rsidP="00870830">
      <w:pPr>
        <w:pStyle w:val="ListParagraph"/>
      </w:pPr>
    </w:p>
    <w:sectPr w:rsidR="0087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94D"/>
    <w:multiLevelType w:val="hybridMultilevel"/>
    <w:tmpl w:val="D466DAE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10AE4"/>
    <w:multiLevelType w:val="hybridMultilevel"/>
    <w:tmpl w:val="F37A16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886F37E">
      <w:start w:val="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D63DB6"/>
    <w:multiLevelType w:val="hybridMultilevel"/>
    <w:tmpl w:val="96AE26A6"/>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7524"/>
    <w:multiLevelType w:val="hybridMultilevel"/>
    <w:tmpl w:val="54B88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B4444"/>
    <w:multiLevelType w:val="hybridMultilevel"/>
    <w:tmpl w:val="5F6A0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8D6C22"/>
    <w:multiLevelType w:val="hybridMultilevel"/>
    <w:tmpl w:val="345E7452"/>
    <w:lvl w:ilvl="0" w:tplc="B344EE2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017640"/>
    <w:multiLevelType w:val="hybridMultilevel"/>
    <w:tmpl w:val="C62C0028"/>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60C39"/>
    <w:multiLevelType w:val="hybridMultilevel"/>
    <w:tmpl w:val="34262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601922"/>
    <w:multiLevelType w:val="hybridMultilevel"/>
    <w:tmpl w:val="3DA67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122C9"/>
    <w:multiLevelType w:val="hybridMultilevel"/>
    <w:tmpl w:val="6F326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3A3CF8"/>
    <w:multiLevelType w:val="hybridMultilevel"/>
    <w:tmpl w:val="C7D035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344FC8"/>
    <w:multiLevelType w:val="hybridMultilevel"/>
    <w:tmpl w:val="E55A4FE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10"/>
  </w:num>
  <w:num w:numId="4">
    <w:abstractNumId w:val="5"/>
  </w:num>
  <w:num w:numId="5">
    <w:abstractNumId w:val="6"/>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30"/>
    <w:rsid w:val="001E12BC"/>
    <w:rsid w:val="001F59C0"/>
    <w:rsid w:val="00323A49"/>
    <w:rsid w:val="005E1FF5"/>
    <w:rsid w:val="00654CC0"/>
    <w:rsid w:val="00870830"/>
    <w:rsid w:val="008D1B38"/>
    <w:rsid w:val="00963A0F"/>
    <w:rsid w:val="00BC56D9"/>
    <w:rsid w:val="00FB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8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8708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83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8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8708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83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eb.mit.edu/krugman/www/bigpush.g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C:\ppa730-4\Spring%2005\solowgrap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2701041133725E-2"/>
          <c:y val="2.203367566246589E-2"/>
          <c:w val="0.91616556646742453"/>
          <c:h val="0.88846222437166378"/>
        </c:manualLayout>
      </c:layout>
      <c:lineChart>
        <c:grouping val="standard"/>
        <c:varyColors val="0"/>
        <c:ser>
          <c:idx val="0"/>
          <c:order val="0"/>
          <c:tx>
            <c:strRef>
              <c:f>Sheet1!$B$1</c:f>
              <c:strCache>
                <c:ptCount val="1"/>
                <c:pt idx="0">
                  <c:v>(δ+n)k</c:v>
                </c:pt>
              </c:strCache>
            </c:strRef>
          </c:tx>
          <c:spPr>
            <a:ln w="38100">
              <a:solidFill>
                <a:srgbClr val="000000"/>
              </a:solidFill>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Sheet1!$B$2:$B$100</c:f>
              <c:numCache>
                <c:formatCode>General</c:formatCode>
                <c:ptCount val="99"/>
                <c:pt idx="0">
                  <c:v>5.0000000000000044E-2</c:v>
                </c:pt>
                <c:pt idx="1">
                  <c:v>0.1</c:v>
                </c:pt>
                <c:pt idx="2">
                  <c:v>0.15000000000000022</c:v>
                </c:pt>
                <c:pt idx="3">
                  <c:v>0.2</c:v>
                </c:pt>
                <c:pt idx="4">
                  <c:v>0.25</c:v>
                </c:pt>
                <c:pt idx="5">
                  <c:v>0.30000000000000032</c:v>
                </c:pt>
                <c:pt idx="6">
                  <c:v>0.35000000000000031</c:v>
                </c:pt>
                <c:pt idx="7">
                  <c:v>0.4</c:v>
                </c:pt>
                <c:pt idx="8">
                  <c:v>0.45</c:v>
                </c:pt>
                <c:pt idx="9">
                  <c:v>0.5</c:v>
                </c:pt>
                <c:pt idx="10">
                  <c:v>0.55000000000000004</c:v>
                </c:pt>
                <c:pt idx="11">
                  <c:v>0.60000000000000064</c:v>
                </c:pt>
                <c:pt idx="12">
                  <c:v>0.65000000000000102</c:v>
                </c:pt>
                <c:pt idx="13">
                  <c:v>0.70000000000000062</c:v>
                </c:pt>
                <c:pt idx="14">
                  <c:v>0.75000000000000089</c:v>
                </c:pt>
                <c:pt idx="15">
                  <c:v>0.8</c:v>
                </c:pt>
                <c:pt idx="16">
                  <c:v>0.85000000000000064</c:v>
                </c:pt>
                <c:pt idx="17">
                  <c:v>0.9</c:v>
                </c:pt>
                <c:pt idx="18">
                  <c:v>0.95000000000000062</c:v>
                </c:pt>
                <c:pt idx="19">
                  <c:v>1</c:v>
                </c:pt>
                <c:pt idx="20">
                  <c:v>1.05</c:v>
                </c:pt>
                <c:pt idx="21">
                  <c:v>1.1000000000000001</c:v>
                </c:pt>
                <c:pt idx="22">
                  <c:v>1.1500000000000001</c:v>
                </c:pt>
                <c:pt idx="23">
                  <c:v>1.2000000000000002</c:v>
                </c:pt>
                <c:pt idx="24">
                  <c:v>1.25</c:v>
                </c:pt>
                <c:pt idx="25">
                  <c:v>1.3</c:v>
                </c:pt>
                <c:pt idx="26">
                  <c:v>1.35</c:v>
                </c:pt>
                <c:pt idx="27">
                  <c:v>1.4</c:v>
                </c:pt>
                <c:pt idx="28">
                  <c:v>1.4500000000000002</c:v>
                </c:pt>
                <c:pt idx="29">
                  <c:v>1.5</c:v>
                </c:pt>
                <c:pt idx="30">
                  <c:v>1.55</c:v>
                </c:pt>
                <c:pt idx="31">
                  <c:v>1.6</c:v>
                </c:pt>
                <c:pt idx="32">
                  <c:v>1.6500000000000001</c:v>
                </c:pt>
                <c:pt idx="33">
                  <c:v>1.7000000000000008</c:v>
                </c:pt>
                <c:pt idx="34">
                  <c:v>1.7500000000000007</c:v>
                </c:pt>
                <c:pt idx="35">
                  <c:v>1.8</c:v>
                </c:pt>
                <c:pt idx="36">
                  <c:v>1.85</c:v>
                </c:pt>
                <c:pt idx="37">
                  <c:v>1.9000000000000001</c:v>
                </c:pt>
                <c:pt idx="38">
                  <c:v>1.9500000000000011</c:v>
                </c:pt>
                <c:pt idx="39">
                  <c:v>2</c:v>
                </c:pt>
                <c:pt idx="40">
                  <c:v>2.0500000000000003</c:v>
                </c:pt>
                <c:pt idx="41">
                  <c:v>2.1</c:v>
                </c:pt>
                <c:pt idx="42">
                  <c:v>2.15</c:v>
                </c:pt>
                <c:pt idx="43">
                  <c:v>2.2000000000000002</c:v>
                </c:pt>
                <c:pt idx="44">
                  <c:v>2.25</c:v>
                </c:pt>
                <c:pt idx="45">
                  <c:v>2.3000000000000003</c:v>
                </c:pt>
                <c:pt idx="46">
                  <c:v>2.3499999999999988</c:v>
                </c:pt>
                <c:pt idx="47">
                  <c:v>2.4000000000000004</c:v>
                </c:pt>
                <c:pt idx="48">
                  <c:v>2.4499999999999997</c:v>
                </c:pt>
                <c:pt idx="49">
                  <c:v>2.5</c:v>
                </c:pt>
                <c:pt idx="50">
                  <c:v>2.5500000000000003</c:v>
                </c:pt>
                <c:pt idx="51">
                  <c:v>2.6</c:v>
                </c:pt>
                <c:pt idx="52">
                  <c:v>2.6500000000000004</c:v>
                </c:pt>
                <c:pt idx="53">
                  <c:v>2.7</c:v>
                </c:pt>
                <c:pt idx="54">
                  <c:v>2.75</c:v>
                </c:pt>
                <c:pt idx="55">
                  <c:v>2.8000000000000003</c:v>
                </c:pt>
                <c:pt idx="56">
                  <c:v>2.8499999999999988</c:v>
                </c:pt>
                <c:pt idx="57">
                  <c:v>2.9000000000000004</c:v>
                </c:pt>
                <c:pt idx="58">
                  <c:v>2.9499999999999997</c:v>
                </c:pt>
                <c:pt idx="59">
                  <c:v>3</c:v>
                </c:pt>
                <c:pt idx="60">
                  <c:v>3.0500000000000003</c:v>
                </c:pt>
                <c:pt idx="61">
                  <c:v>3.1</c:v>
                </c:pt>
                <c:pt idx="62">
                  <c:v>3.1500000000000004</c:v>
                </c:pt>
                <c:pt idx="63">
                  <c:v>3.2</c:v>
                </c:pt>
                <c:pt idx="64">
                  <c:v>3.25</c:v>
                </c:pt>
                <c:pt idx="65">
                  <c:v>3.3000000000000003</c:v>
                </c:pt>
                <c:pt idx="66">
                  <c:v>3.3499999999999988</c:v>
                </c:pt>
                <c:pt idx="67">
                  <c:v>3.4000000000000004</c:v>
                </c:pt>
                <c:pt idx="68">
                  <c:v>3.4499999999999997</c:v>
                </c:pt>
                <c:pt idx="69">
                  <c:v>3.5</c:v>
                </c:pt>
                <c:pt idx="70">
                  <c:v>3.5500000000000003</c:v>
                </c:pt>
                <c:pt idx="71">
                  <c:v>3.6</c:v>
                </c:pt>
                <c:pt idx="72">
                  <c:v>3.6500000000000004</c:v>
                </c:pt>
                <c:pt idx="73">
                  <c:v>3.7</c:v>
                </c:pt>
                <c:pt idx="74">
                  <c:v>3.75</c:v>
                </c:pt>
                <c:pt idx="75">
                  <c:v>3.8000000000000003</c:v>
                </c:pt>
                <c:pt idx="76">
                  <c:v>3.8499999999999988</c:v>
                </c:pt>
                <c:pt idx="77">
                  <c:v>3.9000000000000004</c:v>
                </c:pt>
                <c:pt idx="78">
                  <c:v>3.9499999999999997</c:v>
                </c:pt>
                <c:pt idx="79">
                  <c:v>4</c:v>
                </c:pt>
                <c:pt idx="80">
                  <c:v>4.05</c:v>
                </c:pt>
                <c:pt idx="81">
                  <c:v>4.1000000000000005</c:v>
                </c:pt>
                <c:pt idx="82">
                  <c:v>4.1499999999999995</c:v>
                </c:pt>
                <c:pt idx="83">
                  <c:v>4.2</c:v>
                </c:pt>
                <c:pt idx="84">
                  <c:v>4.25</c:v>
                </c:pt>
                <c:pt idx="85">
                  <c:v>4.3</c:v>
                </c:pt>
                <c:pt idx="86">
                  <c:v>4.3500000000000005</c:v>
                </c:pt>
                <c:pt idx="87">
                  <c:v>4.4000000000000004</c:v>
                </c:pt>
                <c:pt idx="88">
                  <c:v>4.45</c:v>
                </c:pt>
                <c:pt idx="89">
                  <c:v>4.5</c:v>
                </c:pt>
                <c:pt idx="90">
                  <c:v>4.55</c:v>
                </c:pt>
                <c:pt idx="91">
                  <c:v>4.6000000000000005</c:v>
                </c:pt>
                <c:pt idx="92">
                  <c:v>4.6499999999999995</c:v>
                </c:pt>
                <c:pt idx="93">
                  <c:v>4.7</c:v>
                </c:pt>
                <c:pt idx="94">
                  <c:v>4.75</c:v>
                </c:pt>
                <c:pt idx="95">
                  <c:v>4.8000000000000007</c:v>
                </c:pt>
                <c:pt idx="96">
                  <c:v>4.8500000000000005</c:v>
                </c:pt>
                <c:pt idx="97">
                  <c:v>4.9000000000000004</c:v>
                </c:pt>
                <c:pt idx="98">
                  <c:v>4.95</c:v>
                </c:pt>
              </c:numCache>
            </c:numRef>
          </c:val>
          <c:smooth val="0"/>
        </c:ser>
        <c:ser>
          <c:idx val="1"/>
          <c:order val="1"/>
          <c:tx>
            <c:strRef>
              <c:f>Sheet1!$C$1</c:f>
              <c:strCache>
                <c:ptCount val="1"/>
                <c:pt idx="0">
                  <c:v>αk^β</c:v>
                </c:pt>
              </c:strCache>
            </c:strRef>
          </c:tx>
          <c:spPr>
            <a:ln>
              <a:solidFill>
                <a:schemeClr val="tx1"/>
              </a:solidFill>
            </a:ln>
          </c:spPr>
          <c:marker>
            <c:symbol val="x"/>
            <c:size val="4"/>
            <c:spPr>
              <a:noFill/>
            </c:spPr>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Sheet1!$C$2:$C$100</c:f>
              <c:numCache>
                <c:formatCode>General</c:formatCode>
                <c:ptCount val="99"/>
                <c:pt idx="0">
                  <c:v>1</c:v>
                </c:pt>
                <c:pt idx="1">
                  <c:v>1.4142135623730951</c:v>
                </c:pt>
                <c:pt idx="2">
                  <c:v>1.7320508075688785</c:v>
                </c:pt>
                <c:pt idx="3">
                  <c:v>2</c:v>
                </c:pt>
                <c:pt idx="4">
                  <c:v>2.2360679774997867</c:v>
                </c:pt>
                <c:pt idx="5">
                  <c:v>2.4494897427831792</c:v>
                </c:pt>
                <c:pt idx="6">
                  <c:v>2.6457513110645912</c:v>
                </c:pt>
                <c:pt idx="7">
                  <c:v>2.8284271247461903</c:v>
                </c:pt>
                <c:pt idx="8">
                  <c:v>3</c:v>
                </c:pt>
                <c:pt idx="9">
                  <c:v>3.1622776601683795</c:v>
                </c:pt>
                <c:pt idx="10">
                  <c:v>3.3166247903553998</c:v>
                </c:pt>
                <c:pt idx="11">
                  <c:v>3.4641016151377575</c:v>
                </c:pt>
                <c:pt idx="12">
                  <c:v>3.6055512754639891</c:v>
                </c:pt>
                <c:pt idx="13">
                  <c:v>3.7416573867739413</c:v>
                </c:pt>
                <c:pt idx="14">
                  <c:v>3.8729833462074192</c:v>
                </c:pt>
                <c:pt idx="15">
                  <c:v>4</c:v>
                </c:pt>
                <c:pt idx="16">
                  <c:v>4.1231056256176606</c:v>
                </c:pt>
                <c:pt idx="17">
                  <c:v>4.2426406871192874</c:v>
                </c:pt>
                <c:pt idx="18">
                  <c:v>4.3588989435406784</c:v>
                </c:pt>
                <c:pt idx="19">
                  <c:v>4.4721359549995796</c:v>
                </c:pt>
                <c:pt idx="20">
                  <c:v>4.5825756949558398</c:v>
                </c:pt>
                <c:pt idx="21">
                  <c:v>4.6904157598234235</c:v>
                </c:pt>
                <c:pt idx="22">
                  <c:v>4.7958315233127156</c:v>
                </c:pt>
                <c:pt idx="23">
                  <c:v>4.8989794855663584</c:v>
                </c:pt>
                <c:pt idx="24">
                  <c:v>5</c:v>
                </c:pt>
                <c:pt idx="25">
                  <c:v>5.0990195135927854</c:v>
                </c:pt>
                <c:pt idx="26">
                  <c:v>5.196152422706632</c:v>
                </c:pt>
                <c:pt idx="27">
                  <c:v>5.2915026221291814</c:v>
                </c:pt>
                <c:pt idx="28">
                  <c:v>5.3851648071344966</c:v>
                </c:pt>
                <c:pt idx="29">
                  <c:v>5.4772255750516692</c:v>
                </c:pt>
                <c:pt idx="30">
                  <c:v>5.5677643628300215</c:v>
                </c:pt>
                <c:pt idx="31">
                  <c:v>5.6568542494923744</c:v>
                </c:pt>
                <c:pt idx="32">
                  <c:v>5.7445626465380286</c:v>
                </c:pt>
                <c:pt idx="33">
                  <c:v>5.8309518948453007</c:v>
                </c:pt>
                <c:pt idx="34">
                  <c:v>5.9160797830996321</c:v>
                </c:pt>
                <c:pt idx="35">
                  <c:v>6</c:v>
                </c:pt>
                <c:pt idx="36">
                  <c:v>6.0827625302982185</c:v>
                </c:pt>
                <c:pt idx="37">
                  <c:v>6.1644140029689636</c:v>
                </c:pt>
                <c:pt idx="38">
                  <c:v>6.2449979983983965</c:v>
                </c:pt>
                <c:pt idx="39">
                  <c:v>6.3245553203367413</c:v>
                </c:pt>
                <c:pt idx="40">
                  <c:v>6.4031242374328485</c:v>
                </c:pt>
                <c:pt idx="41">
                  <c:v>6.4807406984078684</c:v>
                </c:pt>
                <c:pt idx="42">
                  <c:v>6.5574385243019941</c:v>
                </c:pt>
                <c:pt idx="43">
                  <c:v>6.6332495807108094</c:v>
                </c:pt>
                <c:pt idx="44">
                  <c:v>6.7082039324993765</c:v>
                </c:pt>
                <c:pt idx="45">
                  <c:v>6.7823299831252744</c:v>
                </c:pt>
                <c:pt idx="46">
                  <c:v>6.8556546004010395</c:v>
                </c:pt>
                <c:pt idx="47">
                  <c:v>6.9282032302755088</c:v>
                </c:pt>
                <c:pt idx="48">
                  <c:v>7</c:v>
                </c:pt>
                <c:pt idx="49">
                  <c:v>7.0710678118654764</c:v>
                </c:pt>
                <c:pt idx="50">
                  <c:v>7.1414284285428504</c:v>
                </c:pt>
                <c:pt idx="51">
                  <c:v>7.2111025509279765</c:v>
                </c:pt>
                <c:pt idx="52">
                  <c:v>7.2801098892805181</c:v>
                </c:pt>
                <c:pt idx="53">
                  <c:v>7.3484692283495354</c:v>
                </c:pt>
                <c:pt idx="54">
                  <c:v>7.416198487095671</c:v>
                </c:pt>
                <c:pt idx="55">
                  <c:v>7.4833147735478827</c:v>
                </c:pt>
                <c:pt idx="56">
                  <c:v>7.5498344352707498</c:v>
                </c:pt>
                <c:pt idx="57">
                  <c:v>7.6157731058639104</c:v>
                </c:pt>
                <c:pt idx="58">
                  <c:v>7.6811457478686078</c:v>
                </c:pt>
                <c:pt idx="59">
                  <c:v>7.7459666924148429</c:v>
                </c:pt>
                <c:pt idx="60">
                  <c:v>7.8102496759066584</c:v>
                </c:pt>
                <c:pt idx="61">
                  <c:v>7.8740078740118085</c:v>
                </c:pt>
                <c:pt idx="62">
                  <c:v>7.9372539331937801</c:v>
                </c:pt>
                <c:pt idx="63">
                  <c:v>8</c:v>
                </c:pt>
                <c:pt idx="64">
                  <c:v>8.0622577482985491</c:v>
                </c:pt>
                <c:pt idx="65">
                  <c:v>8.1240384046359519</c:v>
                </c:pt>
                <c:pt idx="66">
                  <c:v>8.1853527718724486</c:v>
                </c:pt>
                <c:pt idx="67">
                  <c:v>8.2462112512353087</c:v>
                </c:pt>
                <c:pt idx="68">
                  <c:v>8.3066238629180749</c:v>
                </c:pt>
                <c:pt idx="69">
                  <c:v>8.3666002653407716</c:v>
                </c:pt>
                <c:pt idx="70">
                  <c:v>8.426149773176359</c:v>
                </c:pt>
                <c:pt idx="71">
                  <c:v>8.4852813742385695</c:v>
                </c:pt>
                <c:pt idx="72">
                  <c:v>8.5440037453175055</c:v>
                </c:pt>
                <c:pt idx="73">
                  <c:v>8.6023252670426249</c:v>
                </c:pt>
                <c:pt idx="74">
                  <c:v>8.6602540378444033</c:v>
                </c:pt>
                <c:pt idx="75">
                  <c:v>8.7177978870813497</c:v>
                </c:pt>
                <c:pt idx="76">
                  <c:v>8.7749643873921119</c:v>
                </c:pt>
                <c:pt idx="77">
                  <c:v>8.8317608663278477</c:v>
                </c:pt>
                <c:pt idx="78">
                  <c:v>8.8881944173155887</c:v>
                </c:pt>
                <c:pt idx="79">
                  <c:v>8.9442719099991397</c:v>
                </c:pt>
                <c:pt idx="80">
                  <c:v>9</c:v>
                </c:pt>
                <c:pt idx="81">
                  <c:v>9.0553851381374226</c:v>
                </c:pt>
                <c:pt idx="82">
                  <c:v>9.1104335791443187</c:v>
                </c:pt>
                <c:pt idx="83">
                  <c:v>9.1651513899116779</c:v>
                </c:pt>
                <c:pt idx="84">
                  <c:v>9.2195444572928871</c:v>
                </c:pt>
                <c:pt idx="85">
                  <c:v>9.2736184954957039</c:v>
                </c:pt>
                <c:pt idx="86">
                  <c:v>9.3273790530888157</c:v>
                </c:pt>
                <c:pt idx="87">
                  <c:v>9.3808315196468772</c:v>
                </c:pt>
                <c:pt idx="88">
                  <c:v>9.4339811320566032</c:v>
                </c:pt>
                <c:pt idx="89">
                  <c:v>9.4868329805051506</c:v>
                </c:pt>
                <c:pt idx="90">
                  <c:v>9.5393920141694561</c:v>
                </c:pt>
                <c:pt idx="91">
                  <c:v>9.5916630466254382</c:v>
                </c:pt>
                <c:pt idx="92">
                  <c:v>9.6436507609929425</c:v>
                </c:pt>
                <c:pt idx="93">
                  <c:v>9.6953597148326587</c:v>
                </c:pt>
                <c:pt idx="94">
                  <c:v>9.7467943448089667</c:v>
                </c:pt>
                <c:pt idx="95">
                  <c:v>9.7979589711326938</c:v>
                </c:pt>
                <c:pt idx="96">
                  <c:v>9.8488578017961039</c:v>
                </c:pt>
                <c:pt idx="97">
                  <c:v>9.8994949366116849</c:v>
                </c:pt>
                <c:pt idx="98">
                  <c:v>9.9498743710661994</c:v>
                </c:pt>
              </c:numCache>
            </c:numRef>
          </c:val>
          <c:smooth val="0"/>
        </c:ser>
        <c:ser>
          <c:idx val="2"/>
          <c:order val="2"/>
          <c:tx>
            <c:strRef>
              <c:f>Sheet1!$D$1</c:f>
              <c:strCache>
                <c:ptCount val="1"/>
                <c:pt idx="0">
                  <c:v>sαk^β</c:v>
                </c:pt>
              </c:strCache>
            </c:strRef>
          </c:tx>
          <c:spPr>
            <a:ln>
              <a:solidFill>
                <a:schemeClr val="tx1"/>
              </a:solidFill>
              <a:prstDash val="dash"/>
            </a:ln>
          </c:spPr>
          <c:marker>
            <c:symbol val="x"/>
            <c:size val="4"/>
            <c:spPr>
              <a:noFill/>
            </c:spPr>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Sheet1!$D$2:$D$100</c:f>
              <c:numCache>
                <c:formatCode>General</c:formatCode>
                <c:ptCount val="99"/>
                <c:pt idx="0">
                  <c:v>0.2</c:v>
                </c:pt>
                <c:pt idx="1">
                  <c:v>0.28284271247461951</c:v>
                </c:pt>
                <c:pt idx="2">
                  <c:v>0.34641016151377613</c:v>
                </c:pt>
                <c:pt idx="3">
                  <c:v>0.4</c:v>
                </c:pt>
                <c:pt idx="4">
                  <c:v>0.44721359549995837</c:v>
                </c:pt>
                <c:pt idx="5">
                  <c:v>0.4898979485566356</c:v>
                </c:pt>
                <c:pt idx="6">
                  <c:v>0.52915026221291817</c:v>
                </c:pt>
                <c:pt idx="7">
                  <c:v>0.56568542494923812</c:v>
                </c:pt>
                <c:pt idx="8">
                  <c:v>0.60000000000000064</c:v>
                </c:pt>
                <c:pt idx="9">
                  <c:v>0.63245553203367755</c:v>
                </c:pt>
                <c:pt idx="10">
                  <c:v>0.66332495807108105</c:v>
                </c:pt>
                <c:pt idx="11">
                  <c:v>0.69282032302755125</c:v>
                </c:pt>
                <c:pt idx="12">
                  <c:v>0.72111025509279791</c:v>
                </c:pt>
                <c:pt idx="13">
                  <c:v>0.74833147735478989</c:v>
                </c:pt>
                <c:pt idx="14">
                  <c:v>0.77459666924148363</c:v>
                </c:pt>
                <c:pt idx="15">
                  <c:v>0.8</c:v>
                </c:pt>
                <c:pt idx="16">
                  <c:v>0.82462112512353314</c:v>
                </c:pt>
                <c:pt idx="17">
                  <c:v>0.84852813742385791</c:v>
                </c:pt>
                <c:pt idx="18">
                  <c:v>0.87177978870813566</c:v>
                </c:pt>
                <c:pt idx="19">
                  <c:v>0.8944271909999153</c:v>
                </c:pt>
                <c:pt idx="20">
                  <c:v>0.9165151389911671</c:v>
                </c:pt>
                <c:pt idx="21">
                  <c:v>0.9380831519646855</c:v>
                </c:pt>
                <c:pt idx="22">
                  <c:v>0.95916630466254349</c:v>
                </c:pt>
                <c:pt idx="23">
                  <c:v>0.97979589711327297</c:v>
                </c:pt>
                <c:pt idx="24">
                  <c:v>1</c:v>
                </c:pt>
                <c:pt idx="25">
                  <c:v>1.019803902718557</c:v>
                </c:pt>
                <c:pt idx="26">
                  <c:v>1.0392304845413265</c:v>
                </c:pt>
                <c:pt idx="27">
                  <c:v>1.058300524425839</c:v>
                </c:pt>
                <c:pt idx="28">
                  <c:v>1.077032961426903</c:v>
                </c:pt>
                <c:pt idx="29">
                  <c:v>1.0954451150103324</c:v>
                </c:pt>
                <c:pt idx="30">
                  <c:v>1.1135528725660062</c:v>
                </c:pt>
                <c:pt idx="31">
                  <c:v>1.1313708498984762</c:v>
                </c:pt>
                <c:pt idx="32">
                  <c:v>1.1489125293076083</c:v>
                </c:pt>
                <c:pt idx="33">
                  <c:v>1.1661903789690602</c:v>
                </c:pt>
                <c:pt idx="34">
                  <c:v>1.1832159566199241</c:v>
                </c:pt>
                <c:pt idx="35">
                  <c:v>1.2000000000000002</c:v>
                </c:pt>
                <c:pt idx="36">
                  <c:v>1.216552506059644</c:v>
                </c:pt>
                <c:pt idx="37">
                  <c:v>1.2328828005937968</c:v>
                </c:pt>
                <c:pt idx="38">
                  <c:v>1.2489995996796779</c:v>
                </c:pt>
                <c:pt idx="39">
                  <c:v>1.264911064067352</c:v>
                </c:pt>
                <c:pt idx="40">
                  <c:v>1.2806248474865698</c:v>
                </c:pt>
                <c:pt idx="41">
                  <c:v>1.2961481396815753</c:v>
                </c:pt>
                <c:pt idx="42">
                  <c:v>1.3114877048604001</c:v>
                </c:pt>
                <c:pt idx="43">
                  <c:v>1.3266499161421599</c:v>
                </c:pt>
                <c:pt idx="44">
                  <c:v>1.3416407864998738</c:v>
                </c:pt>
                <c:pt idx="45">
                  <c:v>1.3564659966250541</c:v>
                </c:pt>
                <c:pt idx="46">
                  <c:v>1.3711309200802106</c:v>
                </c:pt>
                <c:pt idx="47">
                  <c:v>1.3856406460551018</c:v>
                </c:pt>
                <c:pt idx="48">
                  <c:v>1.4</c:v>
                </c:pt>
                <c:pt idx="49">
                  <c:v>1.4142135623730951</c:v>
                </c:pt>
                <c:pt idx="50">
                  <c:v>1.4282856857085702</c:v>
                </c:pt>
                <c:pt idx="51">
                  <c:v>1.4422205101855958</c:v>
                </c:pt>
                <c:pt idx="52">
                  <c:v>1.4560219778561037</c:v>
                </c:pt>
                <c:pt idx="53">
                  <c:v>1.4696938456699042</c:v>
                </c:pt>
                <c:pt idx="54">
                  <c:v>1.483239697419128</c:v>
                </c:pt>
                <c:pt idx="55">
                  <c:v>1.4966629547095767</c:v>
                </c:pt>
                <c:pt idx="56">
                  <c:v>1.5099668870541461</c:v>
                </c:pt>
                <c:pt idx="57">
                  <c:v>1.523154621172782</c:v>
                </c:pt>
                <c:pt idx="58">
                  <c:v>1.5362291495737221</c:v>
                </c:pt>
                <c:pt idx="59">
                  <c:v>1.549193338482965</c:v>
                </c:pt>
                <c:pt idx="60">
                  <c:v>1.5620499351813324</c:v>
                </c:pt>
                <c:pt idx="61">
                  <c:v>1.5748015748023623</c:v>
                </c:pt>
                <c:pt idx="62">
                  <c:v>1.5874507866387562</c:v>
                </c:pt>
                <c:pt idx="63">
                  <c:v>1.6</c:v>
                </c:pt>
                <c:pt idx="64">
                  <c:v>1.612451549659712</c:v>
                </c:pt>
                <c:pt idx="65">
                  <c:v>1.6248076809271919</c:v>
                </c:pt>
                <c:pt idx="66">
                  <c:v>1.6370705543744899</c:v>
                </c:pt>
                <c:pt idx="67">
                  <c:v>1.6492422502470638</c:v>
                </c:pt>
                <c:pt idx="68">
                  <c:v>1.6613247725836138</c:v>
                </c:pt>
                <c:pt idx="69">
                  <c:v>1.6733200530681498</c:v>
                </c:pt>
                <c:pt idx="70">
                  <c:v>1.685229954635272</c:v>
                </c:pt>
                <c:pt idx="71">
                  <c:v>1.697056274847716</c:v>
                </c:pt>
                <c:pt idx="72">
                  <c:v>1.7088007490635069</c:v>
                </c:pt>
                <c:pt idx="73">
                  <c:v>1.7204650534085262</c:v>
                </c:pt>
                <c:pt idx="74">
                  <c:v>1.7320508075688787</c:v>
                </c:pt>
                <c:pt idx="75">
                  <c:v>1.7435595774162707</c:v>
                </c:pt>
                <c:pt idx="76">
                  <c:v>1.7549928774784238</c:v>
                </c:pt>
                <c:pt idx="77">
                  <c:v>1.7663521732655723</c:v>
                </c:pt>
                <c:pt idx="78">
                  <c:v>1.7776388834631178</c:v>
                </c:pt>
                <c:pt idx="79">
                  <c:v>1.7888543819998326</c:v>
                </c:pt>
                <c:pt idx="80">
                  <c:v>1.8</c:v>
                </c:pt>
                <c:pt idx="81">
                  <c:v>1.8110770276274835</c:v>
                </c:pt>
                <c:pt idx="82">
                  <c:v>1.8220867158288601</c:v>
                </c:pt>
                <c:pt idx="83">
                  <c:v>1.8330302779823358</c:v>
                </c:pt>
                <c:pt idx="84">
                  <c:v>1.8439088914585775</c:v>
                </c:pt>
                <c:pt idx="85">
                  <c:v>1.8547236990991383</c:v>
                </c:pt>
                <c:pt idx="86">
                  <c:v>1.8654758106177631</c:v>
                </c:pt>
                <c:pt idx="87">
                  <c:v>1.8761663039293719</c:v>
                </c:pt>
                <c:pt idx="88">
                  <c:v>1.8867962264113207</c:v>
                </c:pt>
                <c:pt idx="89">
                  <c:v>1.897366596101028</c:v>
                </c:pt>
                <c:pt idx="90">
                  <c:v>1.9078784028338907</c:v>
                </c:pt>
                <c:pt idx="91">
                  <c:v>1.9183326093250881</c:v>
                </c:pt>
                <c:pt idx="92">
                  <c:v>1.9287301521985905</c:v>
                </c:pt>
                <c:pt idx="93">
                  <c:v>1.9390719429665326</c:v>
                </c:pt>
                <c:pt idx="94">
                  <c:v>1.9493588689617953</c:v>
                </c:pt>
                <c:pt idx="95">
                  <c:v>1.9595917942265417</c:v>
                </c:pt>
                <c:pt idx="96">
                  <c:v>1.9697715603592219</c:v>
                </c:pt>
                <c:pt idx="97">
                  <c:v>1.9798989873223316</c:v>
                </c:pt>
                <c:pt idx="98">
                  <c:v>1.9899748742132408</c:v>
                </c:pt>
              </c:numCache>
            </c:numRef>
          </c:val>
          <c:smooth val="0"/>
        </c:ser>
        <c:ser>
          <c:idx val="3"/>
          <c:order val="3"/>
          <c:tx>
            <c:strRef>
              <c:f>Sheet1!$E$1</c:f>
              <c:strCache>
                <c:ptCount val="1"/>
                <c:pt idx="0">
                  <c:v>s'αk^β</c:v>
                </c:pt>
              </c:strCache>
            </c:strRef>
          </c:tx>
          <c:spPr>
            <a:ln>
              <a:solidFill>
                <a:schemeClr val="tx1"/>
              </a:solidFill>
              <a:prstDash val="lgDash"/>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Sheet1!$E$2:$E$100</c:f>
              <c:numCache>
                <c:formatCode>General</c:formatCode>
                <c:ptCount val="99"/>
                <c:pt idx="0">
                  <c:v>0.4</c:v>
                </c:pt>
                <c:pt idx="1">
                  <c:v>0.56568542494923812</c:v>
                </c:pt>
                <c:pt idx="2">
                  <c:v>0.69282032302755125</c:v>
                </c:pt>
                <c:pt idx="3">
                  <c:v>0.8</c:v>
                </c:pt>
                <c:pt idx="4">
                  <c:v>0.8944271909999153</c:v>
                </c:pt>
                <c:pt idx="5">
                  <c:v>0.97979589711327297</c:v>
                </c:pt>
                <c:pt idx="6">
                  <c:v>1.058300524425839</c:v>
                </c:pt>
                <c:pt idx="7">
                  <c:v>1.1313708498984762</c:v>
                </c:pt>
                <c:pt idx="8">
                  <c:v>1.2000000000000002</c:v>
                </c:pt>
                <c:pt idx="9">
                  <c:v>1.264911064067352</c:v>
                </c:pt>
                <c:pt idx="10">
                  <c:v>1.3266499161421599</c:v>
                </c:pt>
                <c:pt idx="11">
                  <c:v>1.3856406460551018</c:v>
                </c:pt>
                <c:pt idx="12">
                  <c:v>1.4422205101855958</c:v>
                </c:pt>
                <c:pt idx="13">
                  <c:v>1.4966629547095767</c:v>
                </c:pt>
                <c:pt idx="14">
                  <c:v>1.549193338482965</c:v>
                </c:pt>
                <c:pt idx="15">
                  <c:v>1.6</c:v>
                </c:pt>
                <c:pt idx="16">
                  <c:v>1.6492422502470638</c:v>
                </c:pt>
                <c:pt idx="17">
                  <c:v>1.697056274847716</c:v>
                </c:pt>
                <c:pt idx="18">
                  <c:v>1.7435595774162707</c:v>
                </c:pt>
                <c:pt idx="19">
                  <c:v>1.7888543819998326</c:v>
                </c:pt>
                <c:pt idx="20">
                  <c:v>1.8330302779823358</c:v>
                </c:pt>
                <c:pt idx="21">
                  <c:v>1.8761663039293719</c:v>
                </c:pt>
                <c:pt idx="22">
                  <c:v>1.9183326093250881</c:v>
                </c:pt>
                <c:pt idx="23">
                  <c:v>1.9595917942265417</c:v>
                </c:pt>
                <c:pt idx="24">
                  <c:v>2</c:v>
                </c:pt>
                <c:pt idx="25">
                  <c:v>2.0396078054371141</c:v>
                </c:pt>
                <c:pt idx="26">
                  <c:v>2.078460969082653</c:v>
                </c:pt>
                <c:pt idx="27">
                  <c:v>2.1166010488516762</c:v>
                </c:pt>
                <c:pt idx="28">
                  <c:v>2.1540659228537975</c:v>
                </c:pt>
                <c:pt idx="29">
                  <c:v>2.1908902300206647</c:v>
                </c:pt>
                <c:pt idx="30">
                  <c:v>2.2271057451320164</c:v>
                </c:pt>
                <c:pt idx="31">
                  <c:v>2.2627416997969552</c:v>
                </c:pt>
                <c:pt idx="32">
                  <c:v>2.2978250586152149</c:v>
                </c:pt>
                <c:pt idx="33">
                  <c:v>2.3323807579381204</c:v>
                </c:pt>
                <c:pt idx="34">
                  <c:v>2.3664319132398419</c:v>
                </c:pt>
                <c:pt idx="35">
                  <c:v>2.4000000000000004</c:v>
                </c:pt>
                <c:pt idx="36">
                  <c:v>2.4331050121192868</c:v>
                </c:pt>
                <c:pt idx="37">
                  <c:v>2.4657656011875906</c:v>
                </c:pt>
                <c:pt idx="38">
                  <c:v>2.4979991993593593</c:v>
                </c:pt>
                <c:pt idx="39">
                  <c:v>2.5298221281347009</c:v>
                </c:pt>
                <c:pt idx="40">
                  <c:v>2.561249694973136</c:v>
                </c:pt>
                <c:pt idx="41">
                  <c:v>2.5922962793631412</c:v>
                </c:pt>
                <c:pt idx="42">
                  <c:v>2.6229754097207967</c:v>
                </c:pt>
                <c:pt idx="43">
                  <c:v>2.6532998322843202</c:v>
                </c:pt>
                <c:pt idx="44">
                  <c:v>2.6832815729997517</c:v>
                </c:pt>
                <c:pt idx="45">
                  <c:v>2.7129319932501073</c:v>
                </c:pt>
                <c:pt idx="46">
                  <c:v>2.7422618401604213</c:v>
                </c:pt>
                <c:pt idx="47">
                  <c:v>2.7712812921102041</c:v>
                </c:pt>
                <c:pt idx="48">
                  <c:v>2.8000000000000003</c:v>
                </c:pt>
                <c:pt idx="49">
                  <c:v>2.8284271247461903</c:v>
                </c:pt>
                <c:pt idx="50">
                  <c:v>2.8565713714171403</c:v>
                </c:pt>
                <c:pt idx="51">
                  <c:v>2.8844410203711917</c:v>
                </c:pt>
                <c:pt idx="52">
                  <c:v>2.9120439557122033</c:v>
                </c:pt>
                <c:pt idx="53">
                  <c:v>2.9393876913398138</c:v>
                </c:pt>
                <c:pt idx="54">
                  <c:v>2.9664793948382591</c:v>
                </c:pt>
                <c:pt idx="55">
                  <c:v>2.9933259094191533</c:v>
                </c:pt>
                <c:pt idx="56">
                  <c:v>3.0199337741083001</c:v>
                </c:pt>
                <c:pt idx="57">
                  <c:v>3.0463092423455667</c:v>
                </c:pt>
                <c:pt idx="58">
                  <c:v>3.0724582991474398</c:v>
                </c:pt>
                <c:pt idx="59">
                  <c:v>3.0983866769659372</c:v>
                </c:pt>
                <c:pt idx="60">
                  <c:v>3.1240998703626648</c:v>
                </c:pt>
                <c:pt idx="61">
                  <c:v>3.1496031496047237</c:v>
                </c:pt>
                <c:pt idx="62">
                  <c:v>3.1749015732775092</c:v>
                </c:pt>
                <c:pt idx="63">
                  <c:v>3.2</c:v>
                </c:pt>
                <c:pt idx="64">
                  <c:v>3.2249030993194201</c:v>
                </c:pt>
                <c:pt idx="65">
                  <c:v>3.2496153618543846</c:v>
                </c:pt>
                <c:pt idx="66">
                  <c:v>3.2741411087489802</c:v>
                </c:pt>
                <c:pt idx="67">
                  <c:v>3.2984845004941286</c:v>
                </c:pt>
                <c:pt idx="68">
                  <c:v>3.3226495451672271</c:v>
                </c:pt>
                <c:pt idx="69">
                  <c:v>3.3466401061363023</c:v>
                </c:pt>
                <c:pt idx="70">
                  <c:v>3.3704599092705383</c:v>
                </c:pt>
                <c:pt idx="71">
                  <c:v>3.3941125496954281</c:v>
                </c:pt>
                <c:pt idx="72">
                  <c:v>3.4176014981270142</c:v>
                </c:pt>
                <c:pt idx="73">
                  <c:v>3.440930106817055</c:v>
                </c:pt>
                <c:pt idx="74">
                  <c:v>3.4641016151377584</c:v>
                </c:pt>
                <c:pt idx="75">
                  <c:v>3.4871191548325426</c:v>
                </c:pt>
                <c:pt idx="76">
                  <c:v>3.5099857549568494</c:v>
                </c:pt>
                <c:pt idx="77">
                  <c:v>3.5327043465311392</c:v>
                </c:pt>
                <c:pt idx="78">
                  <c:v>3.5552777669262356</c:v>
                </c:pt>
                <c:pt idx="79">
                  <c:v>3.5777087639996639</c:v>
                </c:pt>
                <c:pt idx="80">
                  <c:v>3.6</c:v>
                </c:pt>
                <c:pt idx="81">
                  <c:v>3.6221540552549691</c:v>
                </c:pt>
                <c:pt idx="82">
                  <c:v>3.6441734316577201</c:v>
                </c:pt>
                <c:pt idx="83">
                  <c:v>3.6660605559646742</c:v>
                </c:pt>
                <c:pt idx="84">
                  <c:v>3.6878177829171617</c:v>
                </c:pt>
                <c:pt idx="85">
                  <c:v>3.7094473981982787</c:v>
                </c:pt>
                <c:pt idx="86">
                  <c:v>3.7309516212355271</c:v>
                </c:pt>
                <c:pt idx="87">
                  <c:v>3.7523326078587438</c:v>
                </c:pt>
                <c:pt idx="88">
                  <c:v>3.7735924528226454</c:v>
                </c:pt>
                <c:pt idx="89">
                  <c:v>3.79473319220206</c:v>
                </c:pt>
                <c:pt idx="90">
                  <c:v>3.8157568056677795</c:v>
                </c:pt>
                <c:pt idx="91">
                  <c:v>3.8366652186501722</c:v>
                </c:pt>
                <c:pt idx="92">
                  <c:v>3.8574603043971791</c:v>
                </c:pt>
                <c:pt idx="93">
                  <c:v>3.8781438859330604</c:v>
                </c:pt>
                <c:pt idx="94">
                  <c:v>3.8987177379235853</c:v>
                </c:pt>
                <c:pt idx="95">
                  <c:v>3.9191835884530848</c:v>
                </c:pt>
                <c:pt idx="96">
                  <c:v>3.9395431207184375</c:v>
                </c:pt>
                <c:pt idx="97">
                  <c:v>3.9597979746446663</c:v>
                </c:pt>
                <c:pt idx="98">
                  <c:v>3.9799497484264812</c:v>
                </c:pt>
              </c:numCache>
            </c:numRef>
          </c:val>
          <c:smooth val="0"/>
        </c:ser>
        <c:ser>
          <c:idx val="4"/>
          <c:order val="4"/>
          <c:tx>
            <c:strRef>
              <c:f>Sheet1!$F$1</c:f>
              <c:strCache>
                <c:ptCount val="1"/>
                <c:pt idx="0">
                  <c:v>α'k^β</c:v>
                </c:pt>
              </c:strCache>
            </c:strRef>
          </c:tx>
          <c:spPr>
            <a:ln>
              <a:solidFill>
                <a:schemeClr val="tx1">
                  <a:lumMod val="50000"/>
                  <a:lumOff val="50000"/>
                </a:schemeClr>
              </a:solidFill>
              <a:prstDash val="sysDot"/>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Sheet1!$F$2:$F$100</c:f>
              <c:numCache>
                <c:formatCode>General</c:formatCode>
                <c:ptCount val="99"/>
                <c:pt idx="0">
                  <c:v>1.5</c:v>
                </c:pt>
                <c:pt idx="1">
                  <c:v>2.1213203435596442</c:v>
                </c:pt>
                <c:pt idx="2">
                  <c:v>2.5980762113533182</c:v>
                </c:pt>
                <c:pt idx="3">
                  <c:v>3</c:v>
                </c:pt>
                <c:pt idx="4">
                  <c:v>3.3541019662496847</c:v>
                </c:pt>
                <c:pt idx="5">
                  <c:v>3.6742346141747668</c:v>
                </c:pt>
                <c:pt idx="6">
                  <c:v>3.9686269665968861</c:v>
                </c:pt>
                <c:pt idx="7">
                  <c:v>4.2426406871192874</c:v>
                </c:pt>
                <c:pt idx="8">
                  <c:v>4.5</c:v>
                </c:pt>
                <c:pt idx="9">
                  <c:v>4.7434164902525753</c:v>
                </c:pt>
                <c:pt idx="10">
                  <c:v>4.9749371855331095</c:v>
                </c:pt>
                <c:pt idx="11">
                  <c:v>5.196152422706632</c:v>
                </c:pt>
                <c:pt idx="12">
                  <c:v>5.4083269131959835</c:v>
                </c:pt>
                <c:pt idx="13">
                  <c:v>5.6124860801609042</c:v>
                </c:pt>
                <c:pt idx="14">
                  <c:v>5.8094750193111304</c:v>
                </c:pt>
                <c:pt idx="15">
                  <c:v>6</c:v>
                </c:pt>
                <c:pt idx="16">
                  <c:v>6.1846584384264833</c:v>
                </c:pt>
                <c:pt idx="17">
                  <c:v>6.3639610306789276</c:v>
                </c:pt>
                <c:pt idx="18">
                  <c:v>6.5383484153110203</c:v>
                </c:pt>
                <c:pt idx="19">
                  <c:v>6.7082039324993765</c:v>
                </c:pt>
                <c:pt idx="20">
                  <c:v>6.8738635424337673</c:v>
                </c:pt>
                <c:pt idx="21">
                  <c:v>7.0356236397351504</c:v>
                </c:pt>
                <c:pt idx="22">
                  <c:v>7.1937472849690804</c:v>
                </c:pt>
                <c:pt idx="23">
                  <c:v>7.3484692283495336</c:v>
                </c:pt>
                <c:pt idx="24">
                  <c:v>7.5</c:v>
                </c:pt>
                <c:pt idx="25">
                  <c:v>7.6485292703891767</c:v>
                </c:pt>
                <c:pt idx="26">
                  <c:v>7.794228634059948</c:v>
                </c:pt>
                <c:pt idx="27">
                  <c:v>7.9372539331937801</c:v>
                </c:pt>
                <c:pt idx="28">
                  <c:v>8.0777472107017676</c:v>
                </c:pt>
                <c:pt idx="29">
                  <c:v>8.2158383625774913</c:v>
                </c:pt>
                <c:pt idx="30">
                  <c:v>8.3516465442450585</c:v>
                </c:pt>
                <c:pt idx="31">
                  <c:v>8.4852813742385713</c:v>
                </c:pt>
                <c:pt idx="32">
                  <c:v>8.6168439698070447</c:v>
                </c:pt>
                <c:pt idx="33">
                  <c:v>8.746427842267952</c:v>
                </c:pt>
                <c:pt idx="34">
                  <c:v>8.8741196746494246</c:v>
                </c:pt>
                <c:pt idx="35">
                  <c:v>9</c:v>
                </c:pt>
                <c:pt idx="36">
                  <c:v>9.1241437954473259</c:v>
                </c:pt>
                <c:pt idx="37">
                  <c:v>9.2466210044534431</c:v>
                </c:pt>
                <c:pt idx="38">
                  <c:v>9.3674969975976268</c:v>
                </c:pt>
                <c:pt idx="39">
                  <c:v>9.4868329805051506</c:v>
                </c:pt>
                <c:pt idx="40">
                  <c:v>9.6046863561492923</c:v>
                </c:pt>
                <c:pt idx="41">
                  <c:v>9.7211110476117639</c:v>
                </c:pt>
                <c:pt idx="42">
                  <c:v>9.8361577864529988</c:v>
                </c:pt>
                <c:pt idx="43">
                  <c:v>9.9498743710661994</c:v>
                </c:pt>
                <c:pt idx="44">
                  <c:v>10.062305898749074</c:v>
                </c:pt>
                <c:pt idx="45">
                  <c:v>10.173494974687927</c:v>
                </c:pt>
                <c:pt idx="46">
                  <c:v>10.283481900601565</c:v>
                </c:pt>
                <c:pt idx="47">
                  <c:v>10.392304845413276</c:v>
                </c:pt>
                <c:pt idx="48">
                  <c:v>10.5</c:v>
                </c:pt>
                <c:pt idx="49">
                  <c:v>10.60660171779822</c:v>
                </c:pt>
                <c:pt idx="50">
                  <c:v>10.712142642814275</c:v>
                </c:pt>
                <c:pt idx="51">
                  <c:v>10.81665382639197</c:v>
                </c:pt>
                <c:pt idx="52">
                  <c:v>10.920164833920779</c:v>
                </c:pt>
                <c:pt idx="53">
                  <c:v>11.022703842524304</c:v>
                </c:pt>
                <c:pt idx="54">
                  <c:v>11.124297730643493</c:v>
                </c:pt>
                <c:pt idx="55">
                  <c:v>11.224972160321798</c:v>
                </c:pt>
                <c:pt idx="56">
                  <c:v>11.324751652906125</c:v>
                </c:pt>
                <c:pt idx="57">
                  <c:v>11.42365965879587</c:v>
                </c:pt>
                <c:pt idx="58">
                  <c:v>11.521718621802911</c:v>
                </c:pt>
                <c:pt idx="59">
                  <c:v>11.618950038622252</c:v>
                </c:pt>
                <c:pt idx="60">
                  <c:v>11.715374513859986</c:v>
                </c:pt>
                <c:pt idx="61">
                  <c:v>11.811011811017719</c:v>
                </c:pt>
                <c:pt idx="62">
                  <c:v>11.905880899790677</c:v>
                </c:pt>
                <c:pt idx="63">
                  <c:v>12</c:v>
                </c:pt>
                <c:pt idx="64">
                  <c:v>12.093386622447824</c:v>
                </c:pt>
                <c:pt idx="65">
                  <c:v>12.18605760695395</c:v>
                </c:pt>
                <c:pt idx="66">
                  <c:v>12.278029157808675</c:v>
                </c:pt>
                <c:pt idx="67">
                  <c:v>12.369316876853002</c:v>
                </c:pt>
                <c:pt idx="68">
                  <c:v>12.45993579437712</c:v>
                </c:pt>
                <c:pt idx="69">
                  <c:v>12.549900398011133</c:v>
                </c:pt>
                <c:pt idx="70">
                  <c:v>12.639224659764539</c:v>
                </c:pt>
                <c:pt idx="71">
                  <c:v>12.727922061357836</c:v>
                </c:pt>
                <c:pt idx="72">
                  <c:v>12.816005617976311</c:v>
                </c:pt>
                <c:pt idx="73">
                  <c:v>12.903487900563961</c:v>
                </c:pt>
                <c:pt idx="74">
                  <c:v>12.99038105676658</c:v>
                </c:pt>
                <c:pt idx="75">
                  <c:v>13.076696830622046</c:v>
                </c:pt>
                <c:pt idx="76">
                  <c:v>13.16244658108821</c:v>
                </c:pt>
                <c:pt idx="77">
                  <c:v>13.247641299491768</c:v>
                </c:pt>
                <c:pt idx="78">
                  <c:v>13.332291625973383</c:v>
                </c:pt>
                <c:pt idx="79">
                  <c:v>13.416407864998755</c:v>
                </c:pt>
                <c:pt idx="80">
                  <c:v>13.5</c:v>
                </c:pt>
                <c:pt idx="81">
                  <c:v>13.583077707206121</c:v>
                </c:pt>
                <c:pt idx="82">
                  <c:v>13.665650368716452</c:v>
                </c:pt>
                <c:pt idx="83">
                  <c:v>13.747727084867506</c:v>
                </c:pt>
                <c:pt idx="84">
                  <c:v>13.829316685939332</c:v>
                </c:pt>
                <c:pt idx="85">
                  <c:v>13.910427743243551</c:v>
                </c:pt>
                <c:pt idx="86">
                  <c:v>13.991068579633223</c:v>
                </c:pt>
                <c:pt idx="87">
                  <c:v>14.071247279470301</c:v>
                </c:pt>
                <c:pt idx="88">
                  <c:v>14.150971698084906</c:v>
                </c:pt>
                <c:pt idx="89">
                  <c:v>14.230249470757698</c:v>
                </c:pt>
                <c:pt idx="90">
                  <c:v>14.309088021254183</c:v>
                </c:pt>
                <c:pt idx="91">
                  <c:v>14.387494569938173</c:v>
                </c:pt>
                <c:pt idx="92">
                  <c:v>14.465476141489452</c:v>
                </c:pt>
                <c:pt idx="93">
                  <c:v>14.543039572249008</c:v>
                </c:pt>
                <c:pt idx="94">
                  <c:v>14.620191517213446</c:v>
                </c:pt>
                <c:pt idx="95">
                  <c:v>14.696938456699067</c:v>
                </c:pt>
                <c:pt idx="96">
                  <c:v>14.773286702694151</c:v>
                </c:pt>
                <c:pt idx="97">
                  <c:v>14.849242404917497</c:v>
                </c:pt>
                <c:pt idx="98">
                  <c:v>14.9248115565993</c:v>
                </c:pt>
              </c:numCache>
            </c:numRef>
          </c:val>
          <c:smooth val="0"/>
        </c:ser>
        <c:ser>
          <c:idx val="5"/>
          <c:order val="5"/>
          <c:tx>
            <c:strRef>
              <c:f>Sheet1!$G$1</c:f>
              <c:strCache>
                <c:ptCount val="1"/>
                <c:pt idx="0">
                  <c:v>sα'k^β</c:v>
                </c:pt>
              </c:strCache>
            </c:strRef>
          </c:tx>
          <c:spPr>
            <a:ln>
              <a:solidFill>
                <a:schemeClr val="tx1"/>
              </a:solidFill>
              <a:prstDash val="sysDash"/>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Sheet1!$G$2:$G$100</c:f>
              <c:numCache>
                <c:formatCode>General</c:formatCode>
                <c:ptCount val="99"/>
                <c:pt idx="0">
                  <c:v>0.30000000000000032</c:v>
                </c:pt>
                <c:pt idx="1">
                  <c:v>0.42426406871192857</c:v>
                </c:pt>
                <c:pt idx="2">
                  <c:v>0.51961524227066325</c:v>
                </c:pt>
                <c:pt idx="3">
                  <c:v>0.60000000000000064</c:v>
                </c:pt>
                <c:pt idx="4">
                  <c:v>0.67082039324993803</c:v>
                </c:pt>
                <c:pt idx="5">
                  <c:v>0.73484692283495345</c:v>
                </c:pt>
                <c:pt idx="6">
                  <c:v>0.79372539331937875</c:v>
                </c:pt>
                <c:pt idx="7">
                  <c:v>0.84852813742385802</c:v>
                </c:pt>
                <c:pt idx="8">
                  <c:v>0.9</c:v>
                </c:pt>
                <c:pt idx="9">
                  <c:v>0.94868329805051466</c:v>
                </c:pt>
                <c:pt idx="10">
                  <c:v>0.99498743710661997</c:v>
                </c:pt>
                <c:pt idx="11">
                  <c:v>1.0392304845413265</c:v>
                </c:pt>
                <c:pt idx="12">
                  <c:v>1.0816653826391938</c:v>
                </c:pt>
                <c:pt idx="13">
                  <c:v>1.1224972160321818</c:v>
                </c:pt>
                <c:pt idx="14">
                  <c:v>1.1618950038622253</c:v>
                </c:pt>
                <c:pt idx="15">
                  <c:v>1.2000000000000002</c:v>
                </c:pt>
                <c:pt idx="16">
                  <c:v>1.236931687685296</c:v>
                </c:pt>
                <c:pt idx="17">
                  <c:v>1.2727922061357857</c:v>
                </c:pt>
                <c:pt idx="18">
                  <c:v>1.3076696830622005</c:v>
                </c:pt>
                <c:pt idx="19">
                  <c:v>1.3416407864998738</c:v>
                </c:pt>
                <c:pt idx="20">
                  <c:v>1.3747727084867538</c:v>
                </c:pt>
                <c:pt idx="21">
                  <c:v>1.4071247279470263</c:v>
                </c:pt>
                <c:pt idx="22">
                  <c:v>1.4387494569938157</c:v>
                </c:pt>
                <c:pt idx="23">
                  <c:v>1.4696938456699042</c:v>
                </c:pt>
                <c:pt idx="24">
                  <c:v>1.5</c:v>
                </c:pt>
                <c:pt idx="25">
                  <c:v>1.5297058540778354</c:v>
                </c:pt>
                <c:pt idx="26">
                  <c:v>1.5588457268119913</c:v>
                </c:pt>
                <c:pt idx="27">
                  <c:v>1.5874507866387562</c:v>
                </c:pt>
                <c:pt idx="28">
                  <c:v>1.6155494421403498</c:v>
                </c:pt>
                <c:pt idx="29">
                  <c:v>1.6431676725154978</c:v>
                </c:pt>
                <c:pt idx="30">
                  <c:v>1.6703293088490059</c:v>
                </c:pt>
                <c:pt idx="31">
                  <c:v>1.6970562748477163</c:v>
                </c:pt>
                <c:pt idx="32">
                  <c:v>1.7233687939614077</c:v>
                </c:pt>
                <c:pt idx="33">
                  <c:v>1.7492855684535926</c:v>
                </c:pt>
                <c:pt idx="34">
                  <c:v>1.774823934929886</c:v>
                </c:pt>
                <c:pt idx="35">
                  <c:v>1.8</c:v>
                </c:pt>
                <c:pt idx="36">
                  <c:v>1.8248287590894638</c:v>
                </c:pt>
                <c:pt idx="37">
                  <c:v>1.8493242008906905</c:v>
                </c:pt>
                <c:pt idx="38">
                  <c:v>1.8734993995195182</c:v>
                </c:pt>
                <c:pt idx="39">
                  <c:v>1.897366596101028</c:v>
                </c:pt>
                <c:pt idx="40">
                  <c:v>1.920937271229854</c:v>
                </c:pt>
                <c:pt idx="41">
                  <c:v>1.944222209522358</c:v>
                </c:pt>
                <c:pt idx="42">
                  <c:v>1.9672315572905992</c:v>
                </c:pt>
                <c:pt idx="43">
                  <c:v>1.9899748742132408</c:v>
                </c:pt>
                <c:pt idx="44">
                  <c:v>2.0124611797498053</c:v>
                </c:pt>
                <c:pt idx="45">
                  <c:v>2.0346989949375787</c:v>
                </c:pt>
                <c:pt idx="46">
                  <c:v>2.0566963801203131</c:v>
                </c:pt>
                <c:pt idx="47">
                  <c:v>2.078460969082653</c:v>
                </c:pt>
                <c:pt idx="48">
                  <c:v>2.1</c:v>
                </c:pt>
                <c:pt idx="49">
                  <c:v>2.1213203435596442</c:v>
                </c:pt>
                <c:pt idx="50">
                  <c:v>2.142428528562855</c:v>
                </c:pt>
                <c:pt idx="51">
                  <c:v>2.1633307652784008</c:v>
                </c:pt>
                <c:pt idx="52">
                  <c:v>2.1840329667841556</c:v>
                </c:pt>
                <c:pt idx="53">
                  <c:v>2.2045407685048612</c:v>
                </c:pt>
                <c:pt idx="54">
                  <c:v>2.2248595461286991</c:v>
                </c:pt>
                <c:pt idx="55">
                  <c:v>2.2449944320643684</c:v>
                </c:pt>
                <c:pt idx="56">
                  <c:v>2.2649503305812249</c:v>
                </c:pt>
                <c:pt idx="57">
                  <c:v>2.2847319317591772</c:v>
                </c:pt>
                <c:pt idx="58">
                  <c:v>2.3043437243605824</c:v>
                </c:pt>
                <c:pt idx="59">
                  <c:v>2.323790007724456</c:v>
                </c:pt>
                <c:pt idx="60">
                  <c:v>2.3430749027720004</c:v>
                </c:pt>
                <c:pt idx="61">
                  <c:v>2.3622023622035404</c:v>
                </c:pt>
                <c:pt idx="62">
                  <c:v>2.3811761799581279</c:v>
                </c:pt>
                <c:pt idx="63">
                  <c:v>2.4000000000000004</c:v>
                </c:pt>
                <c:pt idx="64">
                  <c:v>2.4186773244895616</c:v>
                </c:pt>
                <c:pt idx="65">
                  <c:v>2.4372115213907883</c:v>
                </c:pt>
                <c:pt idx="66">
                  <c:v>2.4556058315617322</c:v>
                </c:pt>
                <c:pt idx="67">
                  <c:v>2.4738633753705965</c:v>
                </c:pt>
                <c:pt idx="68">
                  <c:v>2.4919871588754252</c:v>
                </c:pt>
                <c:pt idx="69">
                  <c:v>2.5099800796022271</c:v>
                </c:pt>
                <c:pt idx="70">
                  <c:v>2.5278449319529082</c:v>
                </c:pt>
                <c:pt idx="71">
                  <c:v>2.5455844122715749</c:v>
                </c:pt>
                <c:pt idx="72">
                  <c:v>2.5632011235952588</c:v>
                </c:pt>
                <c:pt idx="73">
                  <c:v>2.5806975801127892</c:v>
                </c:pt>
                <c:pt idx="74">
                  <c:v>2.5980762113533182</c:v>
                </c:pt>
                <c:pt idx="75">
                  <c:v>2.6153393661244051</c:v>
                </c:pt>
                <c:pt idx="76">
                  <c:v>2.6324893162176366</c:v>
                </c:pt>
                <c:pt idx="77">
                  <c:v>2.6495282598983581</c:v>
                </c:pt>
                <c:pt idx="78">
                  <c:v>2.6664583251946734</c:v>
                </c:pt>
                <c:pt idx="79">
                  <c:v>2.6832815729997517</c:v>
                </c:pt>
                <c:pt idx="80">
                  <c:v>2.7</c:v>
                </c:pt>
                <c:pt idx="81">
                  <c:v>2.7166155414412247</c:v>
                </c:pt>
                <c:pt idx="82">
                  <c:v>2.7331300737432898</c:v>
                </c:pt>
                <c:pt idx="83">
                  <c:v>2.7495454169735027</c:v>
                </c:pt>
                <c:pt idx="84">
                  <c:v>2.7658633371878665</c:v>
                </c:pt>
                <c:pt idx="85">
                  <c:v>2.7820855486487144</c:v>
                </c:pt>
                <c:pt idx="86">
                  <c:v>2.7982137159266451</c:v>
                </c:pt>
                <c:pt idx="87">
                  <c:v>2.8142494558940543</c:v>
                </c:pt>
                <c:pt idx="88">
                  <c:v>2.8301943396169813</c:v>
                </c:pt>
                <c:pt idx="89">
                  <c:v>2.8460498941515375</c:v>
                </c:pt>
                <c:pt idx="90">
                  <c:v>2.8618176042508368</c:v>
                </c:pt>
                <c:pt idx="91">
                  <c:v>2.8774989139876279</c:v>
                </c:pt>
                <c:pt idx="92">
                  <c:v>2.8930952282978866</c:v>
                </c:pt>
                <c:pt idx="93">
                  <c:v>2.9086079144497967</c:v>
                </c:pt>
                <c:pt idx="94">
                  <c:v>2.9240383034426887</c:v>
                </c:pt>
                <c:pt idx="95">
                  <c:v>2.9393876913398138</c:v>
                </c:pt>
                <c:pt idx="96">
                  <c:v>2.9546573405388279</c:v>
                </c:pt>
                <c:pt idx="97">
                  <c:v>2.9698484809834955</c:v>
                </c:pt>
                <c:pt idx="98">
                  <c:v>2.9849623113198587</c:v>
                </c:pt>
              </c:numCache>
            </c:numRef>
          </c:val>
          <c:smooth val="0"/>
        </c:ser>
        <c:dLbls>
          <c:showLegendKey val="0"/>
          <c:showVal val="0"/>
          <c:showCatName val="0"/>
          <c:showSerName val="0"/>
          <c:showPercent val="0"/>
          <c:showBubbleSize val="0"/>
        </c:dLbls>
        <c:marker val="1"/>
        <c:smooth val="0"/>
        <c:axId val="71906816"/>
        <c:axId val="71908352"/>
      </c:lineChart>
      <c:catAx>
        <c:axId val="71906816"/>
        <c:scaling>
          <c:orientation val="minMax"/>
        </c:scaling>
        <c:delete val="0"/>
        <c:axPos val="b"/>
        <c:numFmt formatCode="General" sourceLinked="1"/>
        <c:majorTickMark val="out"/>
        <c:minorTickMark val="none"/>
        <c:tickLblPos val="nextTo"/>
        <c:crossAx val="71908352"/>
        <c:crosses val="autoZero"/>
        <c:auto val="1"/>
        <c:lblAlgn val="ctr"/>
        <c:lblOffset val="100"/>
        <c:tickLblSkip val="5"/>
        <c:noMultiLvlLbl val="0"/>
      </c:catAx>
      <c:valAx>
        <c:axId val="71908352"/>
        <c:scaling>
          <c:orientation val="minMax"/>
        </c:scaling>
        <c:delete val="0"/>
        <c:axPos val="l"/>
        <c:majorGridlines/>
        <c:numFmt formatCode="General" sourceLinked="1"/>
        <c:majorTickMark val="out"/>
        <c:minorTickMark val="none"/>
        <c:tickLblPos val="nextTo"/>
        <c:crossAx val="71906816"/>
        <c:crosses val="autoZero"/>
        <c:crossBetween val="between"/>
      </c:valAx>
    </c:plotArea>
    <c:legend>
      <c:legendPos val="r"/>
      <c:layout>
        <c:manualLayout>
          <c:xMode val="edge"/>
          <c:yMode val="edge"/>
          <c:x val="7.209720021130496E-2"/>
          <c:y val="1.515779046382839E-2"/>
          <c:w val="0.88986793449551027"/>
          <c:h val="0.1322628358354785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McPeak</dc:creator>
  <cp:lastModifiedBy>jomcpeak</cp:lastModifiedBy>
  <cp:revision>4</cp:revision>
  <dcterms:created xsi:type="dcterms:W3CDTF">2013-02-25T13:57:00Z</dcterms:created>
  <dcterms:modified xsi:type="dcterms:W3CDTF">2013-02-25T15:29:00Z</dcterms:modified>
</cp:coreProperties>
</file>